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196C" w14:textId="248628F8" w:rsidR="00DB4CE9" w:rsidRPr="00BC658D" w:rsidRDefault="00DB4CE9" w:rsidP="00DB4CE9">
      <w:pPr>
        <w:jc w:val="center"/>
        <w:rPr>
          <w:b/>
          <w:sz w:val="24"/>
          <w:szCs w:val="24"/>
        </w:rPr>
      </w:pPr>
      <w:bookmarkStart w:id="0" w:name="OLE_LINK1"/>
      <w:bookmarkStart w:id="1" w:name="OLE_LINK2"/>
      <w:r w:rsidRPr="00BC658D">
        <w:rPr>
          <w:b/>
          <w:sz w:val="24"/>
          <w:szCs w:val="24"/>
        </w:rPr>
        <w:t xml:space="preserve">INSTRUCTIONS FOR ALTA ENDORSEMENT FORM </w:t>
      </w:r>
      <w:r>
        <w:rPr>
          <w:b/>
          <w:sz w:val="24"/>
          <w:szCs w:val="24"/>
        </w:rPr>
        <w:t>30</w:t>
      </w:r>
    </w:p>
    <w:p w14:paraId="66B325F0" w14:textId="77777777" w:rsidR="00DB4CE9" w:rsidRPr="00712289" w:rsidRDefault="00DB4CE9" w:rsidP="00DB4CE9">
      <w:pPr>
        <w:jc w:val="center"/>
        <w:rPr>
          <w:b/>
          <w:sz w:val="24"/>
          <w:szCs w:val="24"/>
        </w:rPr>
      </w:pPr>
      <w:r w:rsidRPr="00712289">
        <w:rPr>
          <w:b/>
          <w:sz w:val="24"/>
          <w:szCs w:val="24"/>
        </w:rPr>
        <w:t>SHARED APPRECIATION MORTGAGE</w:t>
      </w:r>
    </w:p>
    <w:p w14:paraId="01C36300" w14:textId="77777777" w:rsidR="00DB4CE9" w:rsidRPr="00BC658D" w:rsidRDefault="00DB4CE9" w:rsidP="00DB4CE9">
      <w:pPr>
        <w:rPr>
          <w:sz w:val="24"/>
          <w:szCs w:val="24"/>
        </w:rPr>
      </w:pPr>
    </w:p>
    <w:p w14:paraId="3FB99F50" w14:textId="77777777" w:rsidR="00DB4CE9" w:rsidRPr="00BC658D" w:rsidRDefault="00DB4CE9" w:rsidP="00DB4CE9">
      <w:pPr>
        <w:rPr>
          <w:sz w:val="24"/>
          <w:szCs w:val="24"/>
        </w:rPr>
      </w:pPr>
    </w:p>
    <w:p w14:paraId="4F218F43" w14:textId="77777777" w:rsidR="00DB4CE9" w:rsidRPr="00BC658D" w:rsidRDefault="00DB4CE9" w:rsidP="00DB4CE9">
      <w:pPr>
        <w:rPr>
          <w:b/>
          <w:sz w:val="24"/>
          <w:szCs w:val="24"/>
        </w:rPr>
      </w:pPr>
      <w:r w:rsidRPr="00BC658D">
        <w:rPr>
          <w:b/>
          <w:sz w:val="24"/>
          <w:szCs w:val="24"/>
        </w:rPr>
        <w:t>PURPOSE OF ENDORSEMENT</w:t>
      </w:r>
    </w:p>
    <w:p w14:paraId="5581EDF5" w14:textId="77777777" w:rsidR="00DB4CE9" w:rsidRPr="00BC658D" w:rsidRDefault="00DB4CE9" w:rsidP="00DB4CE9">
      <w:pPr>
        <w:rPr>
          <w:sz w:val="24"/>
          <w:szCs w:val="24"/>
        </w:rPr>
      </w:pPr>
    </w:p>
    <w:p w14:paraId="7492AA11" w14:textId="49DE7228" w:rsidR="00DB4CE9" w:rsidRPr="003D3A0D" w:rsidRDefault="00DB4CE9" w:rsidP="00DB4CE9">
      <w:pPr>
        <w:jc w:val="both"/>
        <w:rPr>
          <w:sz w:val="24"/>
          <w:szCs w:val="24"/>
        </w:rPr>
      </w:pPr>
      <w:r w:rsidRPr="003D3A0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ALTA 30 </w:t>
      </w:r>
      <w:r w:rsidRPr="003D3A0D">
        <w:rPr>
          <w:sz w:val="24"/>
          <w:szCs w:val="24"/>
        </w:rPr>
        <w:t xml:space="preserve">Shared Appreciation Mortgage </w:t>
      </w:r>
      <w:r>
        <w:rPr>
          <w:sz w:val="24"/>
          <w:szCs w:val="24"/>
        </w:rPr>
        <w:t>E</w:t>
      </w:r>
      <w:r w:rsidRPr="003D3A0D">
        <w:rPr>
          <w:sz w:val="24"/>
          <w:szCs w:val="24"/>
        </w:rPr>
        <w:t xml:space="preserve">ndorsement provides coverage for increases in the indebtedness secured by the </w:t>
      </w:r>
      <w:r>
        <w:rPr>
          <w:sz w:val="24"/>
          <w:szCs w:val="24"/>
        </w:rPr>
        <w:t>I</w:t>
      </w:r>
      <w:r w:rsidRPr="003D3A0D">
        <w:rPr>
          <w:sz w:val="24"/>
          <w:szCs w:val="24"/>
        </w:rPr>
        <w:t xml:space="preserve">nsured Mortgage by reason of shared equity or </w:t>
      </w:r>
      <w:r>
        <w:rPr>
          <w:sz w:val="24"/>
          <w:szCs w:val="24"/>
        </w:rPr>
        <w:t xml:space="preserve">an </w:t>
      </w:r>
      <w:r w:rsidRPr="003D3A0D">
        <w:rPr>
          <w:sz w:val="24"/>
          <w:szCs w:val="24"/>
        </w:rPr>
        <w:t xml:space="preserve">appreciation in the value of land.  This endorsement insures against loss or damage as a result of the invalidity or unenforceability of  the </w:t>
      </w:r>
      <w:r>
        <w:rPr>
          <w:sz w:val="24"/>
          <w:szCs w:val="24"/>
        </w:rPr>
        <w:t>I</w:t>
      </w:r>
      <w:r w:rsidRPr="003D3A0D">
        <w:rPr>
          <w:sz w:val="24"/>
          <w:szCs w:val="24"/>
        </w:rPr>
        <w:t xml:space="preserve">nsured </w:t>
      </w:r>
      <w:r>
        <w:rPr>
          <w:sz w:val="24"/>
          <w:szCs w:val="24"/>
        </w:rPr>
        <w:t>M</w:t>
      </w:r>
      <w:r w:rsidRPr="003D3A0D">
        <w:rPr>
          <w:sz w:val="24"/>
          <w:szCs w:val="24"/>
        </w:rPr>
        <w:t xml:space="preserve">ortgage as security for the shared appreciation indebtedness, </w:t>
      </w:r>
      <w:r>
        <w:rPr>
          <w:sz w:val="24"/>
          <w:szCs w:val="24"/>
        </w:rPr>
        <w:t xml:space="preserve">and also insures against loss resulting from the </w:t>
      </w:r>
      <w:r w:rsidRPr="003D3A0D">
        <w:rPr>
          <w:sz w:val="24"/>
          <w:szCs w:val="24"/>
        </w:rPr>
        <w:t xml:space="preserve">loss of priority of the </w:t>
      </w:r>
      <w:r>
        <w:rPr>
          <w:sz w:val="24"/>
          <w:szCs w:val="24"/>
        </w:rPr>
        <w:t>I</w:t>
      </w:r>
      <w:r w:rsidRPr="003D3A0D">
        <w:rPr>
          <w:sz w:val="24"/>
          <w:szCs w:val="24"/>
        </w:rPr>
        <w:t xml:space="preserve">nsured </w:t>
      </w:r>
      <w:r>
        <w:rPr>
          <w:sz w:val="24"/>
          <w:szCs w:val="24"/>
        </w:rPr>
        <w:t>M</w:t>
      </w:r>
      <w:r w:rsidRPr="003D3A0D">
        <w:rPr>
          <w:sz w:val="24"/>
          <w:szCs w:val="24"/>
        </w:rPr>
        <w:t>ortgage as security for the shared appreciation indebtedness. This endorsement is available for loan polic</w:t>
      </w:r>
      <w:r>
        <w:rPr>
          <w:sz w:val="24"/>
          <w:szCs w:val="24"/>
        </w:rPr>
        <w:t>i</w:t>
      </w:r>
      <w:r w:rsidRPr="003D3A0D">
        <w:rPr>
          <w:sz w:val="24"/>
          <w:szCs w:val="24"/>
        </w:rPr>
        <w:t xml:space="preserve">es </w:t>
      </w:r>
      <w:r>
        <w:rPr>
          <w:sz w:val="24"/>
          <w:szCs w:val="24"/>
        </w:rPr>
        <w:t>insuring mortgages that</w:t>
      </w:r>
      <w:r w:rsidRPr="003D3A0D">
        <w:rPr>
          <w:sz w:val="24"/>
          <w:szCs w:val="24"/>
        </w:rPr>
        <w:t xml:space="preserve"> encumber one-to-four family residential dwellings.</w:t>
      </w:r>
    </w:p>
    <w:p w14:paraId="399334C1" w14:textId="77777777" w:rsidR="00DB4CE9" w:rsidRPr="00BC658D" w:rsidRDefault="00DB4CE9" w:rsidP="00DB4CE9">
      <w:pPr>
        <w:jc w:val="both"/>
        <w:rPr>
          <w:sz w:val="24"/>
          <w:szCs w:val="24"/>
        </w:rPr>
      </w:pPr>
    </w:p>
    <w:p w14:paraId="5F5B9D37" w14:textId="77777777" w:rsidR="00DB4CE9" w:rsidRPr="00BC658D" w:rsidRDefault="00DB4CE9" w:rsidP="00DB4CE9">
      <w:pPr>
        <w:jc w:val="both"/>
        <w:rPr>
          <w:b/>
          <w:sz w:val="24"/>
          <w:szCs w:val="24"/>
        </w:rPr>
      </w:pPr>
      <w:r w:rsidRPr="00BC658D">
        <w:rPr>
          <w:b/>
          <w:sz w:val="24"/>
          <w:szCs w:val="24"/>
        </w:rPr>
        <w:t xml:space="preserve">UNDERWRITING REQUIREMENTS </w:t>
      </w:r>
    </w:p>
    <w:p w14:paraId="58AB1D4C" w14:textId="77777777" w:rsidR="00DB4CE9" w:rsidRPr="00BC658D" w:rsidRDefault="00DB4CE9" w:rsidP="00DB4CE9">
      <w:pPr>
        <w:jc w:val="both"/>
        <w:rPr>
          <w:sz w:val="24"/>
          <w:szCs w:val="24"/>
        </w:rPr>
      </w:pPr>
    </w:p>
    <w:p w14:paraId="378FD00A" w14:textId="77777777" w:rsidR="00DB4CE9" w:rsidRPr="003D3A0D" w:rsidRDefault="00DB4CE9" w:rsidP="00DB4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Prior to issuing the endorsement, you must </w:t>
      </w:r>
      <w:r w:rsidRPr="003D3A0D">
        <w:rPr>
          <w:sz w:val="24"/>
          <w:szCs w:val="24"/>
        </w:rPr>
        <w:t xml:space="preserve">ascertain that the property is a one-to-four family residence and confirm that the mortgage </w:t>
      </w:r>
      <w:r>
        <w:rPr>
          <w:sz w:val="24"/>
          <w:szCs w:val="24"/>
        </w:rPr>
        <w:t xml:space="preserve">to be insured </w:t>
      </w:r>
      <w:r w:rsidRPr="003D3A0D">
        <w:rPr>
          <w:sz w:val="24"/>
          <w:szCs w:val="24"/>
        </w:rPr>
        <w:t>contains shared equity or appreciation language.</w:t>
      </w:r>
    </w:p>
    <w:p w14:paraId="232CEAE6" w14:textId="77777777" w:rsidR="00DB4CE9" w:rsidRPr="00D62677" w:rsidRDefault="00DB4CE9" w:rsidP="00DB4CE9">
      <w:pPr>
        <w:jc w:val="both"/>
        <w:rPr>
          <w:sz w:val="24"/>
          <w:szCs w:val="24"/>
        </w:rPr>
      </w:pPr>
    </w:p>
    <w:p w14:paraId="0D3C362D" w14:textId="77777777" w:rsidR="00DB4CE9" w:rsidRPr="00D62677" w:rsidRDefault="00DB4CE9" w:rsidP="00DB4CE9">
      <w:pPr>
        <w:jc w:val="both"/>
        <w:rPr>
          <w:sz w:val="24"/>
          <w:szCs w:val="24"/>
        </w:rPr>
      </w:pPr>
    </w:p>
    <w:p w14:paraId="59F70DCD" w14:textId="77777777" w:rsidR="00DB4CE9" w:rsidRPr="00510348" w:rsidRDefault="00DB4CE9" w:rsidP="00DB4CE9">
      <w:pPr>
        <w:jc w:val="both"/>
        <w:rPr>
          <w:spacing w:val="-3"/>
          <w:sz w:val="24"/>
          <w:szCs w:val="24"/>
        </w:rPr>
      </w:pPr>
      <w:r w:rsidRPr="00D62677">
        <w:rPr>
          <w:b/>
          <w:i/>
          <w:sz w:val="24"/>
          <w:szCs w:val="24"/>
        </w:rPr>
        <w:t>Please contact a member of CATIC's underwriting staff if there are questions about the issuance of this endorsement.</w:t>
      </w:r>
      <w:r w:rsidRPr="00510348">
        <w:rPr>
          <w:spacing w:val="-3"/>
          <w:sz w:val="24"/>
          <w:szCs w:val="24"/>
        </w:rPr>
        <w:t xml:space="preserve"> </w:t>
      </w:r>
    </w:p>
    <w:p w14:paraId="74404213" w14:textId="77777777" w:rsidR="00DB4CE9" w:rsidRDefault="00DB4CE9" w:rsidP="009A7BA8">
      <w:pPr>
        <w:pStyle w:val="Header1"/>
        <w:pBdr>
          <w:bottom w:val="none" w:sz="0" w:space="0" w:color="auto"/>
        </w:pBdr>
        <w:tabs>
          <w:tab w:val="clear" w:pos="4320"/>
          <w:tab w:val="clear" w:pos="9360"/>
        </w:tabs>
        <w:jc w:val="center"/>
        <w:rPr>
          <w:rFonts w:ascii="Times New Roman" w:hAnsi="Times New Roman"/>
          <w:bCs/>
          <w:sz w:val="22"/>
          <w:szCs w:val="22"/>
        </w:rPr>
        <w:sectPr w:rsidR="00DB4CE9" w:rsidSect="00DB4CE9">
          <w:pgSz w:w="12245" w:h="15703"/>
          <w:pgMar w:top="1440" w:right="1440" w:bottom="1440" w:left="1440" w:header="720" w:footer="360" w:gutter="0"/>
          <w:cols w:space="720"/>
          <w:noEndnote/>
          <w:docGrid w:linePitch="272"/>
        </w:sectPr>
      </w:pPr>
    </w:p>
    <w:p w14:paraId="55670F75" w14:textId="22B61535" w:rsidR="00E65D41" w:rsidRPr="00555E4F" w:rsidRDefault="00C346D5" w:rsidP="009A7BA8">
      <w:pPr>
        <w:pStyle w:val="Header1"/>
        <w:pBdr>
          <w:bottom w:val="none" w:sz="0" w:space="0" w:color="auto"/>
        </w:pBdr>
        <w:tabs>
          <w:tab w:val="clear" w:pos="4320"/>
          <w:tab w:val="clear" w:pos="9360"/>
        </w:tabs>
        <w:jc w:val="center"/>
        <w:rPr>
          <w:rFonts w:ascii="Times New Roman" w:hAnsi="Times New Roman"/>
          <w:bCs/>
          <w:sz w:val="22"/>
          <w:szCs w:val="22"/>
        </w:rPr>
      </w:pPr>
      <w:r w:rsidRPr="00555E4F">
        <w:rPr>
          <w:rFonts w:ascii="Times New Roman" w:hAnsi="Times New Roman"/>
          <w:bCs/>
          <w:sz w:val="22"/>
          <w:szCs w:val="22"/>
        </w:rPr>
        <w:lastRenderedPageBreak/>
        <w:t>ALTA 30</w:t>
      </w:r>
      <w:r w:rsidR="00B41FB0" w:rsidRPr="00555E4F">
        <w:rPr>
          <w:rFonts w:ascii="Times New Roman" w:hAnsi="Times New Roman"/>
          <w:bCs/>
          <w:sz w:val="22"/>
          <w:szCs w:val="22"/>
        </w:rPr>
        <w:t xml:space="preserve"> </w:t>
      </w:r>
      <w:r w:rsidRPr="00555E4F">
        <w:rPr>
          <w:rFonts w:ascii="Times New Roman" w:hAnsi="Times New Roman"/>
          <w:bCs/>
          <w:sz w:val="22"/>
          <w:szCs w:val="22"/>
        </w:rPr>
        <w:t xml:space="preserve">ONE-TO-FOUR FAMILY SHARED APPRECIATION MORTGAGE </w:t>
      </w:r>
      <w:r w:rsidR="00E65D41" w:rsidRPr="00555E4F">
        <w:rPr>
          <w:rFonts w:ascii="Times New Roman" w:hAnsi="Times New Roman"/>
          <w:bCs/>
          <w:sz w:val="22"/>
          <w:szCs w:val="22"/>
        </w:rPr>
        <w:t>ENDORSEMENT</w:t>
      </w:r>
    </w:p>
    <w:p w14:paraId="1AC290E6" w14:textId="5BA873EB" w:rsidR="00C346D5" w:rsidRPr="00555E4F" w:rsidRDefault="00C346D5" w:rsidP="003A063D">
      <w:pPr>
        <w:pStyle w:val="Header1"/>
        <w:pBdr>
          <w:bottom w:val="none" w:sz="0" w:space="0" w:color="auto"/>
        </w:pBdr>
        <w:tabs>
          <w:tab w:val="clear" w:pos="4320"/>
          <w:tab w:val="clear" w:pos="9360"/>
        </w:tabs>
        <w:jc w:val="center"/>
        <w:rPr>
          <w:rFonts w:ascii="Times New Roman" w:hAnsi="Times New Roman"/>
          <w:bCs/>
          <w:sz w:val="21"/>
          <w:szCs w:val="21"/>
        </w:rPr>
      </w:pPr>
    </w:p>
    <w:p w14:paraId="6DC8E4A0" w14:textId="160A3784" w:rsidR="00E65D41" w:rsidRPr="00555E4F" w:rsidRDefault="00C346D5" w:rsidP="009A7BA8">
      <w:pPr>
        <w:pStyle w:val="Header1"/>
        <w:pBdr>
          <w:bottom w:val="none" w:sz="0" w:space="0" w:color="auto"/>
        </w:pBdr>
        <w:tabs>
          <w:tab w:val="clear" w:pos="4320"/>
          <w:tab w:val="clear" w:pos="9360"/>
        </w:tabs>
        <w:jc w:val="center"/>
        <w:rPr>
          <w:rFonts w:ascii="Times New Roman" w:hAnsi="Times New Roman"/>
          <w:bCs/>
        </w:rPr>
      </w:pPr>
      <w:r w:rsidRPr="00555E4F">
        <w:rPr>
          <w:rFonts w:ascii="Times New Roman" w:hAnsi="Times New Roman"/>
          <w:bCs/>
        </w:rPr>
        <w:t>This endorsement is issued as part of</w:t>
      </w:r>
      <w:r w:rsidR="00555E4F" w:rsidRPr="00555E4F">
        <w:rPr>
          <w:rFonts w:ascii="Times New Roman" w:hAnsi="Times New Roman"/>
          <w:bCs/>
        </w:rPr>
        <w:t xml:space="preserve"> </w:t>
      </w:r>
      <w:r w:rsidR="00E65D41" w:rsidRPr="00555E4F">
        <w:rPr>
          <w:rFonts w:ascii="Times New Roman" w:hAnsi="Times New Roman"/>
          <w:bCs/>
        </w:rPr>
        <w:t xml:space="preserve">Policy </w:t>
      </w:r>
      <w:r w:rsidRPr="00555E4F">
        <w:rPr>
          <w:rFonts w:ascii="Times New Roman" w:hAnsi="Times New Roman"/>
          <w:bCs/>
        </w:rPr>
        <w:t>Number</w:t>
      </w:r>
      <w:r w:rsidR="00E65D41" w:rsidRPr="00555E4F">
        <w:rPr>
          <w:rFonts w:ascii="Times New Roman" w:hAnsi="Times New Roman"/>
          <w:bCs/>
        </w:rPr>
        <w:t xml:space="preserve"> </w:t>
      </w:r>
      <w:r w:rsidR="004D1502">
        <w:rPr>
          <w:rFonts w:ascii="Times New Roman" w:hAnsi="Times New Roman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D1502">
        <w:rPr>
          <w:rFonts w:ascii="Times New Roman" w:hAnsi="Times New Roman"/>
          <w:bCs/>
        </w:rPr>
        <w:instrText xml:space="preserve"> FORMTEXT </w:instrText>
      </w:r>
      <w:r w:rsidR="004D1502">
        <w:rPr>
          <w:rFonts w:ascii="Times New Roman" w:hAnsi="Times New Roman"/>
          <w:bCs/>
        </w:rPr>
      </w:r>
      <w:r w:rsidR="004D1502">
        <w:rPr>
          <w:rFonts w:ascii="Times New Roman" w:hAnsi="Times New Roman"/>
          <w:bCs/>
        </w:rPr>
        <w:fldChar w:fldCharType="separate"/>
      </w:r>
      <w:r w:rsidR="004D1502">
        <w:rPr>
          <w:rFonts w:ascii="Times New Roman" w:hAnsi="Times New Roman"/>
          <w:bCs/>
          <w:noProof/>
        </w:rPr>
        <w:t> </w:t>
      </w:r>
      <w:r w:rsidR="004D1502">
        <w:rPr>
          <w:rFonts w:ascii="Times New Roman" w:hAnsi="Times New Roman"/>
          <w:bCs/>
          <w:noProof/>
        </w:rPr>
        <w:t> </w:t>
      </w:r>
      <w:r w:rsidR="004D1502">
        <w:rPr>
          <w:rFonts w:ascii="Times New Roman" w:hAnsi="Times New Roman"/>
          <w:bCs/>
          <w:noProof/>
        </w:rPr>
        <w:t> </w:t>
      </w:r>
      <w:r w:rsidR="004D1502">
        <w:rPr>
          <w:rFonts w:ascii="Times New Roman" w:hAnsi="Times New Roman"/>
          <w:bCs/>
          <w:noProof/>
        </w:rPr>
        <w:t> </w:t>
      </w:r>
      <w:r w:rsidR="004D1502">
        <w:rPr>
          <w:rFonts w:ascii="Times New Roman" w:hAnsi="Times New Roman"/>
          <w:bCs/>
          <w:noProof/>
        </w:rPr>
        <w:t> </w:t>
      </w:r>
      <w:r w:rsidR="004D1502">
        <w:rPr>
          <w:rFonts w:ascii="Times New Roman" w:hAnsi="Times New Roman"/>
          <w:bCs/>
        </w:rPr>
        <w:fldChar w:fldCharType="end"/>
      </w:r>
      <w:bookmarkEnd w:id="2"/>
    </w:p>
    <w:p w14:paraId="7A23CF6C" w14:textId="5C2ECB03" w:rsidR="008B7044" w:rsidRPr="00555E4F" w:rsidRDefault="00C346D5" w:rsidP="00555E4F">
      <w:pPr>
        <w:pStyle w:val="Header1"/>
        <w:pBdr>
          <w:bottom w:val="none" w:sz="0" w:space="0" w:color="auto"/>
        </w:pBdr>
        <w:tabs>
          <w:tab w:val="clear" w:pos="4320"/>
          <w:tab w:val="clear" w:pos="9360"/>
        </w:tabs>
        <w:jc w:val="center"/>
        <w:rPr>
          <w:rStyle w:val="Strong"/>
          <w:rFonts w:ascii="Times New Roman" w:hAnsi="Times New Roman"/>
          <w:b/>
        </w:rPr>
      </w:pPr>
      <w:r w:rsidRPr="00555E4F">
        <w:rPr>
          <w:rFonts w:ascii="Times New Roman" w:hAnsi="Times New Roman"/>
          <w:bCs/>
        </w:rPr>
        <w:t>i</w:t>
      </w:r>
      <w:r w:rsidR="00E65D41" w:rsidRPr="00555E4F">
        <w:rPr>
          <w:rFonts w:ascii="Times New Roman" w:hAnsi="Times New Roman"/>
          <w:bCs/>
        </w:rPr>
        <w:t>ssued by</w:t>
      </w:r>
      <w:r w:rsidR="00555E4F" w:rsidRPr="00555E4F">
        <w:rPr>
          <w:rFonts w:ascii="Times New Roman" w:hAnsi="Times New Roman"/>
          <w:bCs/>
        </w:rPr>
        <w:t xml:space="preserve"> CATIC</w:t>
      </w:r>
      <w:bookmarkEnd w:id="0"/>
      <w:bookmarkEnd w:id="1"/>
    </w:p>
    <w:p w14:paraId="4AD95699" w14:textId="77777777" w:rsidR="00E65D41" w:rsidRPr="00555E4F" w:rsidRDefault="00E65D41" w:rsidP="009A7BA8">
      <w:pPr>
        <w:pStyle w:val="NormalWeb"/>
        <w:spacing w:before="0" w:beforeAutospacing="0" w:after="0" w:afterAutospacing="0"/>
        <w:jc w:val="center"/>
        <w:rPr>
          <w:rStyle w:val="Strong"/>
          <w:sz w:val="21"/>
          <w:szCs w:val="21"/>
        </w:rPr>
      </w:pPr>
    </w:p>
    <w:p w14:paraId="0EDC08DF" w14:textId="3CE5CE33" w:rsidR="00EB14FB" w:rsidRPr="00555E4F" w:rsidRDefault="00333654" w:rsidP="00555E4F">
      <w:pPr>
        <w:widowControl/>
        <w:adjustRightInd/>
        <w:ind w:left="360" w:right="-35" w:hanging="360"/>
        <w:jc w:val="both"/>
        <w:rPr>
          <w:bCs/>
          <w:sz w:val="21"/>
          <w:szCs w:val="21"/>
        </w:rPr>
      </w:pPr>
      <w:r w:rsidRPr="00555E4F">
        <w:rPr>
          <w:bCs/>
          <w:sz w:val="21"/>
          <w:szCs w:val="21"/>
        </w:rPr>
        <w:t>1.</w:t>
      </w:r>
      <w:r w:rsidRPr="00555E4F">
        <w:rPr>
          <w:bCs/>
          <w:sz w:val="21"/>
          <w:szCs w:val="21"/>
        </w:rPr>
        <w:tab/>
      </w:r>
      <w:r w:rsidR="00EB14FB" w:rsidRPr="00555E4F">
        <w:rPr>
          <w:bCs/>
          <w:sz w:val="21"/>
          <w:szCs w:val="21"/>
        </w:rPr>
        <w:t>The insurance afforded by this endorsement is only effective if the Land is a one to four family residence.</w:t>
      </w:r>
    </w:p>
    <w:p w14:paraId="2A4D0BF5" w14:textId="77777777" w:rsidR="008B7044" w:rsidRPr="00555E4F" w:rsidRDefault="008B7044" w:rsidP="00923617">
      <w:pPr>
        <w:widowControl/>
        <w:adjustRightInd/>
        <w:ind w:left="540" w:right="-35" w:hanging="540"/>
        <w:jc w:val="both"/>
        <w:rPr>
          <w:bCs/>
          <w:spacing w:val="-2"/>
          <w:sz w:val="21"/>
          <w:szCs w:val="21"/>
        </w:rPr>
      </w:pPr>
    </w:p>
    <w:p w14:paraId="68D091A4" w14:textId="5243BC5C" w:rsidR="00E61253" w:rsidRPr="00555E4F" w:rsidRDefault="00333654" w:rsidP="00555E4F">
      <w:pPr>
        <w:widowControl/>
        <w:adjustRightInd/>
        <w:ind w:left="360" w:right="-35" w:hanging="360"/>
        <w:jc w:val="both"/>
        <w:rPr>
          <w:bCs/>
          <w:spacing w:val="-2"/>
          <w:sz w:val="21"/>
          <w:szCs w:val="21"/>
        </w:rPr>
      </w:pPr>
      <w:r w:rsidRPr="00555E4F">
        <w:rPr>
          <w:bCs/>
          <w:spacing w:val="-2"/>
          <w:sz w:val="21"/>
          <w:szCs w:val="21"/>
        </w:rPr>
        <w:t>2.</w:t>
      </w:r>
      <w:r w:rsidRPr="00555E4F">
        <w:rPr>
          <w:bCs/>
          <w:spacing w:val="-2"/>
          <w:sz w:val="21"/>
          <w:szCs w:val="21"/>
        </w:rPr>
        <w:tab/>
      </w:r>
      <w:r w:rsidR="00E61253" w:rsidRPr="00555E4F">
        <w:rPr>
          <w:bCs/>
          <w:spacing w:val="-2"/>
          <w:sz w:val="21"/>
          <w:szCs w:val="21"/>
        </w:rPr>
        <w:t>For the purposes of this endorsement, “Shared Appreciation” shall mean increases in the</w:t>
      </w:r>
      <w:r w:rsidR="00D87A83" w:rsidRPr="00555E4F">
        <w:rPr>
          <w:bCs/>
          <w:spacing w:val="-2"/>
          <w:sz w:val="21"/>
          <w:szCs w:val="21"/>
        </w:rPr>
        <w:t xml:space="preserve"> Indebtedness</w:t>
      </w:r>
      <w:r w:rsidR="00C7280D" w:rsidRPr="00555E4F">
        <w:rPr>
          <w:bCs/>
          <w:spacing w:val="-2"/>
          <w:sz w:val="21"/>
          <w:szCs w:val="21"/>
        </w:rPr>
        <w:t xml:space="preserve"> </w:t>
      </w:r>
      <w:r w:rsidR="00E61253" w:rsidRPr="00555E4F">
        <w:rPr>
          <w:bCs/>
          <w:spacing w:val="-2"/>
          <w:sz w:val="21"/>
          <w:szCs w:val="21"/>
        </w:rPr>
        <w:t xml:space="preserve">secured by the Insured Mortgage by reason of shared equity or appreciation in </w:t>
      </w:r>
      <w:r w:rsidR="00ED1D47" w:rsidRPr="00555E4F">
        <w:rPr>
          <w:bCs/>
          <w:spacing w:val="-2"/>
          <w:sz w:val="21"/>
          <w:szCs w:val="21"/>
        </w:rPr>
        <w:t xml:space="preserve">the </w:t>
      </w:r>
      <w:r w:rsidR="00E61253" w:rsidRPr="00555E4F">
        <w:rPr>
          <w:bCs/>
          <w:spacing w:val="-2"/>
          <w:sz w:val="21"/>
          <w:szCs w:val="21"/>
        </w:rPr>
        <w:t>value of the Land.</w:t>
      </w:r>
    </w:p>
    <w:p w14:paraId="2470200A" w14:textId="77777777" w:rsidR="008B7044" w:rsidRPr="00555E4F" w:rsidRDefault="008B7044" w:rsidP="00555E4F">
      <w:pPr>
        <w:widowControl/>
        <w:adjustRightInd/>
        <w:ind w:left="360" w:right="-35" w:hanging="360"/>
        <w:jc w:val="both"/>
        <w:rPr>
          <w:bCs/>
          <w:sz w:val="21"/>
          <w:szCs w:val="21"/>
        </w:rPr>
      </w:pPr>
    </w:p>
    <w:p w14:paraId="7C89E2D7" w14:textId="05F00CDF" w:rsidR="00981FF4" w:rsidRPr="00555E4F" w:rsidRDefault="00333654" w:rsidP="00555E4F">
      <w:pPr>
        <w:widowControl/>
        <w:adjustRightInd/>
        <w:ind w:left="360" w:right="-35" w:hanging="360"/>
        <w:jc w:val="both"/>
        <w:rPr>
          <w:bCs/>
          <w:sz w:val="21"/>
          <w:szCs w:val="21"/>
        </w:rPr>
      </w:pPr>
      <w:r w:rsidRPr="00555E4F">
        <w:rPr>
          <w:bCs/>
          <w:sz w:val="21"/>
          <w:szCs w:val="21"/>
        </w:rPr>
        <w:t>3.</w:t>
      </w:r>
      <w:r w:rsidRPr="00555E4F">
        <w:rPr>
          <w:bCs/>
          <w:sz w:val="21"/>
          <w:szCs w:val="21"/>
        </w:rPr>
        <w:tab/>
      </w:r>
      <w:r w:rsidR="00981FF4" w:rsidRPr="00555E4F">
        <w:rPr>
          <w:bCs/>
          <w:sz w:val="21"/>
          <w:szCs w:val="21"/>
        </w:rPr>
        <w:t xml:space="preserve">The Company insures against loss or damage sustained by the Insured by reason of: </w:t>
      </w:r>
    </w:p>
    <w:p w14:paraId="36BB18A7" w14:textId="3AF52537" w:rsidR="00333654" w:rsidRPr="00555E4F" w:rsidRDefault="00333654" w:rsidP="00555E4F">
      <w:pPr>
        <w:widowControl/>
        <w:adjustRightInd/>
        <w:ind w:left="720" w:right="-35" w:hanging="360"/>
        <w:jc w:val="both"/>
        <w:rPr>
          <w:bCs/>
          <w:spacing w:val="1"/>
          <w:sz w:val="21"/>
          <w:szCs w:val="21"/>
        </w:rPr>
      </w:pPr>
      <w:r w:rsidRPr="00555E4F">
        <w:rPr>
          <w:bCs/>
          <w:sz w:val="21"/>
          <w:szCs w:val="21"/>
        </w:rPr>
        <w:t>a.</w:t>
      </w:r>
      <w:r w:rsidRPr="00555E4F">
        <w:rPr>
          <w:bCs/>
          <w:sz w:val="21"/>
          <w:szCs w:val="21"/>
        </w:rPr>
        <w:tab/>
      </w:r>
      <w:r w:rsidR="00981FF4" w:rsidRPr="00555E4F">
        <w:rPr>
          <w:bCs/>
          <w:sz w:val="21"/>
          <w:szCs w:val="21"/>
        </w:rPr>
        <w:t>The invalidity or unenforceability of the lien of the Insured Mortgage</w:t>
      </w:r>
      <w:r w:rsidR="002565EC" w:rsidRPr="00555E4F">
        <w:rPr>
          <w:bCs/>
          <w:spacing w:val="1"/>
          <w:sz w:val="21"/>
          <w:szCs w:val="21"/>
        </w:rPr>
        <w:t xml:space="preserve"> </w:t>
      </w:r>
      <w:r w:rsidR="00D87A83" w:rsidRPr="00555E4F">
        <w:rPr>
          <w:bCs/>
          <w:sz w:val="21"/>
          <w:szCs w:val="21"/>
        </w:rPr>
        <w:t xml:space="preserve">as security for the Indebtedness </w:t>
      </w:r>
      <w:r w:rsidR="004765DB" w:rsidRPr="00555E4F">
        <w:rPr>
          <w:bCs/>
          <w:spacing w:val="1"/>
          <w:sz w:val="21"/>
          <w:szCs w:val="21"/>
        </w:rPr>
        <w:t xml:space="preserve">caused by the provisions for </w:t>
      </w:r>
      <w:r w:rsidR="00D87A83" w:rsidRPr="00555E4F">
        <w:rPr>
          <w:bCs/>
          <w:spacing w:val="1"/>
          <w:sz w:val="21"/>
          <w:szCs w:val="21"/>
        </w:rPr>
        <w:t>Shared Appreciation</w:t>
      </w:r>
      <w:r w:rsidR="002565EC" w:rsidRPr="00555E4F">
        <w:rPr>
          <w:bCs/>
          <w:spacing w:val="1"/>
          <w:sz w:val="21"/>
          <w:szCs w:val="21"/>
        </w:rPr>
        <w:t xml:space="preserve">; or </w:t>
      </w:r>
    </w:p>
    <w:p w14:paraId="767A05BA" w14:textId="7341A685" w:rsidR="00E94B43" w:rsidRPr="00555E4F" w:rsidRDefault="00333654" w:rsidP="00555E4F">
      <w:pPr>
        <w:widowControl/>
        <w:adjustRightInd/>
        <w:ind w:left="720" w:right="-35" w:hanging="360"/>
        <w:jc w:val="both"/>
        <w:rPr>
          <w:bCs/>
          <w:sz w:val="21"/>
          <w:szCs w:val="21"/>
        </w:rPr>
      </w:pPr>
      <w:r w:rsidRPr="00555E4F">
        <w:rPr>
          <w:bCs/>
          <w:sz w:val="21"/>
          <w:szCs w:val="21"/>
        </w:rPr>
        <w:t>b.</w:t>
      </w:r>
      <w:r w:rsidRPr="00555E4F">
        <w:rPr>
          <w:bCs/>
          <w:sz w:val="21"/>
          <w:szCs w:val="21"/>
        </w:rPr>
        <w:tab/>
      </w:r>
      <w:r w:rsidR="00981FF4" w:rsidRPr="00555E4F">
        <w:rPr>
          <w:bCs/>
          <w:sz w:val="21"/>
          <w:szCs w:val="21"/>
        </w:rPr>
        <w:t>Loss of priority of the lien of the Insured Mortgage as security for the Indebtedness</w:t>
      </w:r>
      <w:r w:rsidR="00A91E22" w:rsidRPr="00555E4F">
        <w:rPr>
          <w:bCs/>
          <w:sz w:val="21"/>
          <w:szCs w:val="21"/>
        </w:rPr>
        <w:t xml:space="preserve"> </w:t>
      </w:r>
      <w:r w:rsidR="004765DB" w:rsidRPr="00555E4F">
        <w:rPr>
          <w:bCs/>
          <w:sz w:val="21"/>
          <w:szCs w:val="21"/>
        </w:rPr>
        <w:t xml:space="preserve">caused by the provisions for </w:t>
      </w:r>
      <w:r w:rsidR="00E61253" w:rsidRPr="00555E4F">
        <w:rPr>
          <w:bCs/>
          <w:spacing w:val="1"/>
          <w:sz w:val="21"/>
          <w:szCs w:val="21"/>
        </w:rPr>
        <w:t>Shared Appreciation</w:t>
      </w:r>
      <w:r w:rsidR="002565EC" w:rsidRPr="00555E4F">
        <w:rPr>
          <w:bCs/>
          <w:sz w:val="21"/>
          <w:szCs w:val="21"/>
        </w:rPr>
        <w:t>.</w:t>
      </w:r>
    </w:p>
    <w:p w14:paraId="423A980C" w14:textId="77777777" w:rsidR="008B7044" w:rsidRPr="00555E4F" w:rsidRDefault="008B7044" w:rsidP="00923617">
      <w:pPr>
        <w:widowControl/>
        <w:adjustRightInd/>
        <w:ind w:left="540" w:right="-35" w:hanging="540"/>
        <w:jc w:val="both"/>
        <w:rPr>
          <w:bCs/>
          <w:sz w:val="21"/>
          <w:szCs w:val="21"/>
        </w:rPr>
      </w:pPr>
    </w:p>
    <w:p w14:paraId="5CE7D85A" w14:textId="598AD0A2" w:rsidR="00E94B43" w:rsidRPr="00555E4F" w:rsidRDefault="00333654" w:rsidP="00555E4F">
      <w:pPr>
        <w:widowControl/>
        <w:adjustRightInd/>
        <w:ind w:left="360" w:right="-35" w:hanging="360"/>
        <w:jc w:val="both"/>
        <w:rPr>
          <w:sz w:val="21"/>
          <w:szCs w:val="21"/>
        </w:rPr>
      </w:pPr>
      <w:r w:rsidRPr="00555E4F">
        <w:rPr>
          <w:bCs/>
          <w:spacing w:val="-2"/>
          <w:sz w:val="21"/>
          <w:szCs w:val="21"/>
        </w:rPr>
        <w:t>4.</w:t>
      </w:r>
      <w:r w:rsidRPr="00555E4F">
        <w:rPr>
          <w:bCs/>
          <w:spacing w:val="-2"/>
          <w:sz w:val="21"/>
          <w:szCs w:val="21"/>
        </w:rPr>
        <w:tab/>
      </w:r>
      <w:r w:rsidR="00E94B43" w:rsidRPr="00555E4F">
        <w:rPr>
          <w:bCs/>
          <w:spacing w:val="-2"/>
          <w:sz w:val="21"/>
          <w:szCs w:val="21"/>
        </w:rPr>
        <w:t xml:space="preserve">Nothing contained in this endorsement shall be construed as insuring against loss or damage sustained or </w:t>
      </w:r>
      <w:r w:rsidR="00E94B43" w:rsidRPr="00555E4F">
        <w:rPr>
          <w:bCs/>
          <w:sz w:val="21"/>
          <w:szCs w:val="21"/>
        </w:rPr>
        <w:t>incurred by</w:t>
      </w:r>
      <w:r w:rsidR="00E94B43" w:rsidRPr="00555E4F">
        <w:rPr>
          <w:sz w:val="21"/>
          <w:szCs w:val="21"/>
        </w:rPr>
        <w:t xml:space="preserve"> reason of:</w:t>
      </w:r>
    </w:p>
    <w:p w14:paraId="24866672" w14:textId="4324C660" w:rsidR="00E65D41" w:rsidRPr="00555E4F" w:rsidRDefault="00333654" w:rsidP="00555E4F">
      <w:pPr>
        <w:widowControl/>
        <w:adjustRightInd/>
        <w:ind w:left="720" w:right="-35" w:hanging="360"/>
        <w:jc w:val="both"/>
        <w:rPr>
          <w:sz w:val="21"/>
          <w:szCs w:val="21"/>
        </w:rPr>
      </w:pPr>
      <w:r w:rsidRPr="00555E4F">
        <w:rPr>
          <w:sz w:val="21"/>
          <w:szCs w:val="21"/>
        </w:rPr>
        <w:t>a.</w:t>
      </w:r>
      <w:r w:rsidRPr="00555E4F">
        <w:rPr>
          <w:sz w:val="21"/>
          <w:szCs w:val="21"/>
        </w:rPr>
        <w:tab/>
      </w:r>
      <w:r w:rsidR="00E34742" w:rsidRPr="00555E4F">
        <w:rPr>
          <w:sz w:val="21"/>
          <w:szCs w:val="21"/>
        </w:rPr>
        <w:t>u</w:t>
      </w:r>
      <w:r w:rsidR="00E94B43" w:rsidRPr="00555E4F">
        <w:rPr>
          <w:sz w:val="21"/>
          <w:szCs w:val="21"/>
        </w:rPr>
        <w:t>sury</w:t>
      </w:r>
      <w:r w:rsidR="00D06D99" w:rsidRPr="00555E4F">
        <w:rPr>
          <w:sz w:val="21"/>
          <w:szCs w:val="21"/>
        </w:rPr>
        <w:t xml:space="preserve"> law</w:t>
      </w:r>
      <w:r w:rsidR="00E94B43" w:rsidRPr="00555E4F">
        <w:rPr>
          <w:sz w:val="21"/>
          <w:szCs w:val="21"/>
        </w:rPr>
        <w:t>;</w:t>
      </w:r>
    </w:p>
    <w:p w14:paraId="66E59C8D" w14:textId="1A931EA0" w:rsidR="00E65D41" w:rsidRPr="00555E4F" w:rsidRDefault="00333654" w:rsidP="00555E4F">
      <w:pPr>
        <w:widowControl/>
        <w:adjustRightInd/>
        <w:ind w:left="720" w:right="-35" w:hanging="360"/>
        <w:jc w:val="both"/>
        <w:rPr>
          <w:sz w:val="21"/>
          <w:szCs w:val="21"/>
        </w:rPr>
      </w:pPr>
      <w:r w:rsidRPr="00555E4F">
        <w:rPr>
          <w:sz w:val="21"/>
          <w:szCs w:val="21"/>
        </w:rPr>
        <w:t>b.</w:t>
      </w:r>
      <w:r w:rsidRPr="00555E4F">
        <w:rPr>
          <w:sz w:val="21"/>
          <w:szCs w:val="21"/>
        </w:rPr>
        <w:tab/>
      </w:r>
      <w:r w:rsidR="00E94B43" w:rsidRPr="00555E4F">
        <w:rPr>
          <w:sz w:val="21"/>
          <w:szCs w:val="21"/>
        </w:rPr>
        <w:t xml:space="preserve">any </w:t>
      </w:r>
      <w:r w:rsidR="00D06D99" w:rsidRPr="00555E4F">
        <w:rPr>
          <w:sz w:val="21"/>
          <w:szCs w:val="21"/>
        </w:rPr>
        <w:t>Consumer Protection Law</w:t>
      </w:r>
      <w:r w:rsidR="00C73F02" w:rsidRPr="00555E4F">
        <w:rPr>
          <w:sz w:val="21"/>
          <w:szCs w:val="21"/>
        </w:rPr>
        <w:t xml:space="preserve">; </w:t>
      </w:r>
    </w:p>
    <w:p w14:paraId="372D9F2E" w14:textId="46968390" w:rsidR="00E65D41" w:rsidRPr="00555E4F" w:rsidRDefault="00333654" w:rsidP="00555E4F">
      <w:pPr>
        <w:widowControl/>
        <w:adjustRightInd/>
        <w:ind w:left="720" w:right="-35" w:hanging="360"/>
        <w:jc w:val="both"/>
        <w:rPr>
          <w:sz w:val="21"/>
          <w:szCs w:val="21"/>
        </w:rPr>
      </w:pPr>
      <w:r w:rsidRPr="00555E4F">
        <w:rPr>
          <w:sz w:val="21"/>
          <w:szCs w:val="21"/>
        </w:rPr>
        <w:t>c.</w:t>
      </w:r>
      <w:r w:rsidRPr="00555E4F">
        <w:rPr>
          <w:sz w:val="21"/>
          <w:szCs w:val="21"/>
        </w:rPr>
        <w:tab/>
      </w:r>
      <w:r w:rsidR="00E94B43" w:rsidRPr="00555E4F">
        <w:rPr>
          <w:sz w:val="21"/>
          <w:szCs w:val="21"/>
        </w:rPr>
        <w:t>costs, expenses</w:t>
      </w:r>
      <w:r w:rsidR="00E34742" w:rsidRPr="00555E4F">
        <w:rPr>
          <w:sz w:val="21"/>
          <w:szCs w:val="21"/>
        </w:rPr>
        <w:t>,</w:t>
      </w:r>
      <w:r w:rsidR="00E94B43" w:rsidRPr="00555E4F">
        <w:rPr>
          <w:sz w:val="21"/>
          <w:szCs w:val="21"/>
        </w:rPr>
        <w:t xml:space="preserve"> or attorneys’ fees required to obtain a determination, by judicial proceedings or otherwise, of the amount of </w:t>
      </w:r>
      <w:r w:rsidR="00A91E22" w:rsidRPr="00555E4F">
        <w:rPr>
          <w:sz w:val="21"/>
          <w:szCs w:val="21"/>
        </w:rPr>
        <w:t xml:space="preserve">the </w:t>
      </w:r>
      <w:r w:rsidR="00985E2B" w:rsidRPr="00555E4F">
        <w:rPr>
          <w:sz w:val="21"/>
          <w:szCs w:val="21"/>
        </w:rPr>
        <w:t>Shared Appreciation</w:t>
      </w:r>
      <w:r w:rsidR="00C73F02" w:rsidRPr="00555E4F">
        <w:rPr>
          <w:sz w:val="21"/>
          <w:szCs w:val="21"/>
        </w:rPr>
        <w:t xml:space="preserve">; </w:t>
      </w:r>
    </w:p>
    <w:p w14:paraId="7FC58644" w14:textId="5D7E5BCD" w:rsidR="00E65D41" w:rsidRPr="00555E4F" w:rsidRDefault="00333654" w:rsidP="00555E4F">
      <w:pPr>
        <w:widowControl/>
        <w:adjustRightInd/>
        <w:ind w:left="720" w:right="-35" w:hanging="360"/>
        <w:jc w:val="both"/>
        <w:rPr>
          <w:sz w:val="21"/>
          <w:szCs w:val="21"/>
        </w:rPr>
      </w:pPr>
      <w:r w:rsidRPr="00555E4F">
        <w:rPr>
          <w:sz w:val="21"/>
          <w:szCs w:val="21"/>
        </w:rPr>
        <w:t>d.</w:t>
      </w:r>
      <w:r w:rsidRPr="00555E4F">
        <w:rPr>
          <w:sz w:val="21"/>
          <w:szCs w:val="21"/>
        </w:rPr>
        <w:tab/>
      </w:r>
      <w:r w:rsidR="00E51CAF" w:rsidRPr="00555E4F">
        <w:rPr>
          <w:sz w:val="21"/>
          <w:szCs w:val="21"/>
        </w:rPr>
        <w:t>f</w:t>
      </w:r>
      <w:r w:rsidR="00C73F02" w:rsidRPr="00555E4F">
        <w:rPr>
          <w:sz w:val="21"/>
          <w:szCs w:val="21"/>
        </w:rPr>
        <w:t>ailure to comply with applicable laws and regulations regarding</w:t>
      </w:r>
      <w:r w:rsidR="00E61253" w:rsidRPr="00555E4F">
        <w:rPr>
          <w:sz w:val="21"/>
          <w:szCs w:val="21"/>
        </w:rPr>
        <w:t xml:space="preserve"> Shared Appreciation</w:t>
      </w:r>
      <w:r w:rsidR="00E51CAF" w:rsidRPr="00555E4F">
        <w:rPr>
          <w:sz w:val="21"/>
          <w:szCs w:val="21"/>
        </w:rPr>
        <w:t xml:space="preserve">; </w:t>
      </w:r>
    </w:p>
    <w:p w14:paraId="014D983A" w14:textId="4159612A" w:rsidR="00E65D41" w:rsidRPr="00555E4F" w:rsidRDefault="00333654" w:rsidP="00555E4F">
      <w:pPr>
        <w:pStyle w:val="BlockText"/>
        <w:ind w:left="720" w:hanging="360"/>
        <w:rPr>
          <w:rFonts w:ascii="Times New Roman" w:hAnsi="Times New Roman" w:cs="Times New Roman"/>
          <w:sz w:val="21"/>
          <w:szCs w:val="21"/>
        </w:rPr>
      </w:pPr>
      <w:r w:rsidRPr="00555E4F">
        <w:rPr>
          <w:rFonts w:ascii="Times New Roman" w:hAnsi="Times New Roman" w:cs="Times New Roman"/>
          <w:sz w:val="21"/>
          <w:szCs w:val="21"/>
        </w:rPr>
        <w:t>e.</w:t>
      </w:r>
      <w:r w:rsidRPr="00555E4F">
        <w:rPr>
          <w:rFonts w:ascii="Times New Roman" w:hAnsi="Times New Roman" w:cs="Times New Roman"/>
          <w:sz w:val="21"/>
          <w:szCs w:val="21"/>
        </w:rPr>
        <w:tab/>
      </w:r>
      <w:r w:rsidR="00E51CAF" w:rsidRPr="00555E4F">
        <w:rPr>
          <w:rFonts w:ascii="Times New Roman" w:hAnsi="Times New Roman" w:cs="Times New Roman"/>
          <w:sz w:val="21"/>
          <w:szCs w:val="21"/>
        </w:rPr>
        <w:t>t</w:t>
      </w:r>
      <w:r w:rsidR="00CC20C0" w:rsidRPr="00555E4F">
        <w:rPr>
          <w:rFonts w:ascii="Times New Roman" w:hAnsi="Times New Roman" w:cs="Times New Roman"/>
          <w:sz w:val="21"/>
          <w:szCs w:val="21"/>
        </w:rPr>
        <w:t>he stay, rejection</w:t>
      </w:r>
      <w:r w:rsidR="003A063D" w:rsidRPr="00555E4F">
        <w:rPr>
          <w:rFonts w:ascii="Times New Roman" w:hAnsi="Times New Roman" w:cs="Times New Roman"/>
          <w:sz w:val="21"/>
          <w:szCs w:val="21"/>
        </w:rPr>
        <w:t>,</w:t>
      </w:r>
      <w:r w:rsidR="00CC20C0" w:rsidRPr="00555E4F">
        <w:rPr>
          <w:rFonts w:ascii="Times New Roman" w:hAnsi="Times New Roman" w:cs="Times New Roman"/>
          <w:sz w:val="21"/>
          <w:szCs w:val="21"/>
        </w:rPr>
        <w:t xml:space="preserve"> or avoidance of the lien of the Insured Mortgage as security for the </w:t>
      </w:r>
      <w:r w:rsidR="00E51CAF" w:rsidRPr="00555E4F">
        <w:rPr>
          <w:rFonts w:ascii="Times New Roman" w:hAnsi="Times New Roman" w:cs="Times New Roman"/>
          <w:sz w:val="21"/>
          <w:szCs w:val="21"/>
        </w:rPr>
        <w:t>Shared Appreciation</w:t>
      </w:r>
      <w:r w:rsidR="00CC20C0" w:rsidRPr="00555E4F">
        <w:rPr>
          <w:rFonts w:ascii="Times New Roman" w:hAnsi="Times New Roman" w:cs="Times New Roman"/>
          <w:sz w:val="21"/>
          <w:szCs w:val="21"/>
        </w:rPr>
        <w:t xml:space="preserve">, or a court order providing some other remedy, by the operation of federal bankruptcy, </w:t>
      </w:r>
      <w:r w:rsidR="001E66C6" w:rsidRPr="00555E4F">
        <w:rPr>
          <w:rFonts w:ascii="Times New Roman" w:hAnsi="Times New Roman" w:cs="Times New Roman"/>
          <w:sz w:val="21"/>
          <w:szCs w:val="21"/>
        </w:rPr>
        <w:t>s</w:t>
      </w:r>
      <w:r w:rsidR="00C86859" w:rsidRPr="00555E4F">
        <w:rPr>
          <w:rFonts w:ascii="Times New Roman" w:hAnsi="Times New Roman" w:cs="Times New Roman"/>
          <w:sz w:val="21"/>
          <w:szCs w:val="21"/>
        </w:rPr>
        <w:t>tate</w:t>
      </w:r>
      <w:r w:rsidR="00CC20C0" w:rsidRPr="00555E4F">
        <w:rPr>
          <w:rFonts w:ascii="Times New Roman" w:hAnsi="Times New Roman" w:cs="Times New Roman"/>
          <w:sz w:val="21"/>
          <w:szCs w:val="21"/>
        </w:rPr>
        <w:t xml:space="preserve"> insolvency, or similar creditors’ rights laws</w:t>
      </w:r>
      <w:r w:rsidR="006C53EC" w:rsidRPr="00555E4F">
        <w:rPr>
          <w:rFonts w:ascii="Times New Roman" w:hAnsi="Times New Roman" w:cs="Times New Roman"/>
          <w:sz w:val="21"/>
          <w:szCs w:val="21"/>
        </w:rPr>
        <w:t xml:space="preserve">; or </w:t>
      </w:r>
    </w:p>
    <w:p w14:paraId="5384F3D2" w14:textId="3A2C5E20" w:rsidR="006C53EC" w:rsidRPr="00555E4F" w:rsidRDefault="00333654" w:rsidP="00555E4F">
      <w:pPr>
        <w:pStyle w:val="BlockText"/>
        <w:ind w:left="720" w:hanging="360"/>
        <w:rPr>
          <w:rFonts w:ascii="Times New Roman" w:hAnsi="Times New Roman" w:cs="Times New Roman"/>
          <w:sz w:val="21"/>
          <w:szCs w:val="21"/>
        </w:rPr>
      </w:pPr>
      <w:r w:rsidRPr="00555E4F">
        <w:rPr>
          <w:rFonts w:ascii="Times New Roman" w:hAnsi="Times New Roman" w:cs="Times New Roman"/>
          <w:sz w:val="21"/>
          <w:szCs w:val="21"/>
        </w:rPr>
        <w:t>f.</w:t>
      </w:r>
      <w:r w:rsidRPr="00555E4F">
        <w:rPr>
          <w:rFonts w:ascii="Times New Roman" w:hAnsi="Times New Roman" w:cs="Times New Roman"/>
          <w:sz w:val="21"/>
          <w:szCs w:val="21"/>
        </w:rPr>
        <w:tab/>
      </w:r>
      <w:r w:rsidR="008B7044" w:rsidRPr="00555E4F">
        <w:rPr>
          <w:rFonts w:ascii="Times New Roman" w:hAnsi="Times New Roman" w:cs="Times New Roman"/>
          <w:sz w:val="21"/>
          <w:szCs w:val="21"/>
        </w:rPr>
        <w:t>t</w:t>
      </w:r>
      <w:r w:rsidR="00C7280D" w:rsidRPr="00555E4F">
        <w:rPr>
          <w:rFonts w:ascii="Times New Roman" w:hAnsi="Times New Roman" w:cs="Times New Roman"/>
          <w:sz w:val="21"/>
          <w:szCs w:val="21"/>
        </w:rPr>
        <w:t>he invalidity, unenforceability</w:t>
      </w:r>
      <w:r w:rsidR="003A063D" w:rsidRPr="00555E4F">
        <w:rPr>
          <w:rFonts w:ascii="Times New Roman" w:hAnsi="Times New Roman" w:cs="Times New Roman"/>
          <w:sz w:val="21"/>
          <w:szCs w:val="21"/>
        </w:rPr>
        <w:t>,</w:t>
      </w:r>
      <w:r w:rsidR="00C7280D" w:rsidRPr="00555E4F">
        <w:rPr>
          <w:rFonts w:ascii="Times New Roman" w:hAnsi="Times New Roman" w:cs="Times New Roman"/>
          <w:sz w:val="21"/>
          <w:szCs w:val="21"/>
        </w:rPr>
        <w:t xml:space="preserve"> or lack of priority of the lien of the Insured Mortgage as security for the Indebtedness because all applicable mortgage recording or similar intangible taxes were not paid.</w:t>
      </w:r>
    </w:p>
    <w:p w14:paraId="2E8A975E" w14:textId="77777777" w:rsidR="008B7044" w:rsidRPr="00555E4F" w:rsidRDefault="008B7044" w:rsidP="009A7BA8">
      <w:pPr>
        <w:widowControl/>
        <w:ind w:left="1350" w:hanging="450"/>
        <w:jc w:val="both"/>
        <w:rPr>
          <w:sz w:val="21"/>
          <w:szCs w:val="21"/>
        </w:rPr>
      </w:pPr>
    </w:p>
    <w:p w14:paraId="15DDCBAA" w14:textId="77777777" w:rsidR="00E94B43" w:rsidRPr="00555E4F" w:rsidRDefault="00E94B43" w:rsidP="009A7BA8">
      <w:pPr>
        <w:widowControl/>
        <w:adjustRightInd/>
        <w:jc w:val="both"/>
        <w:rPr>
          <w:sz w:val="21"/>
          <w:szCs w:val="21"/>
        </w:rPr>
      </w:pPr>
      <w:r w:rsidRPr="00555E4F">
        <w:rPr>
          <w:spacing w:val="-2"/>
          <w:sz w:val="21"/>
          <w:szCs w:val="21"/>
        </w:rPr>
        <w:t xml:space="preserve">This endorsement is issued as part of the policy. Except as it expressly states, it does not (i) modify any of the </w:t>
      </w:r>
      <w:r w:rsidRPr="00555E4F">
        <w:rPr>
          <w:spacing w:val="6"/>
          <w:sz w:val="21"/>
          <w:szCs w:val="21"/>
        </w:rPr>
        <w:t xml:space="preserve">terms and provisions of the policy, (ii) modify any prior endorsements, (iii) extend the Date of Policy, or </w:t>
      </w:r>
      <w:r w:rsidRPr="00555E4F">
        <w:rPr>
          <w:spacing w:val="-2"/>
          <w:sz w:val="21"/>
          <w:szCs w:val="21"/>
        </w:rPr>
        <w:t xml:space="preserve">(iv) increase the Amount of Insurance. To the extent a provision of the policy or a previous endorsement is </w:t>
      </w:r>
      <w:r w:rsidRPr="00555E4F">
        <w:rPr>
          <w:spacing w:val="4"/>
          <w:sz w:val="21"/>
          <w:szCs w:val="21"/>
        </w:rPr>
        <w:t xml:space="preserve">inconsistent with an express provision of this endorsement, this endorsement controls. Otherwise, this </w:t>
      </w:r>
      <w:r w:rsidRPr="00555E4F">
        <w:rPr>
          <w:sz w:val="21"/>
          <w:szCs w:val="21"/>
        </w:rPr>
        <w:t>endorsement is subject to all of the terms and provisions of the policy and of any prior endorsements.</w:t>
      </w:r>
    </w:p>
    <w:p w14:paraId="7672E458" w14:textId="345D4588" w:rsidR="003A063D" w:rsidRPr="00555E4F" w:rsidRDefault="003A063D" w:rsidP="003A063D">
      <w:pPr>
        <w:widowControl/>
        <w:jc w:val="both"/>
        <w:rPr>
          <w:color w:val="000000"/>
          <w:sz w:val="21"/>
          <w:szCs w:val="21"/>
        </w:rPr>
      </w:pPr>
    </w:p>
    <w:p w14:paraId="79414F8A" w14:textId="599558DE" w:rsidR="00555E4F" w:rsidRPr="00555E4F" w:rsidRDefault="00555E4F" w:rsidP="003A063D">
      <w:pPr>
        <w:widowControl/>
        <w:jc w:val="both"/>
        <w:rPr>
          <w:color w:val="000000"/>
          <w:sz w:val="21"/>
          <w:szCs w:val="21"/>
        </w:rPr>
      </w:pPr>
    </w:p>
    <w:p w14:paraId="1515797F" w14:textId="77777777" w:rsidR="00555E4F" w:rsidRPr="00555E4F" w:rsidRDefault="00555E4F" w:rsidP="00555E4F">
      <w:pPr>
        <w:pStyle w:val="Default"/>
        <w:jc w:val="center"/>
        <w:rPr>
          <w:sz w:val="21"/>
          <w:szCs w:val="21"/>
        </w:rPr>
      </w:pPr>
      <w:bookmarkStart w:id="3" w:name="_Hlk79559660"/>
      <w:r w:rsidRPr="00555E4F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0D11E01" wp14:editId="1178DF76">
            <wp:simplePos x="0" y="0"/>
            <wp:positionH relativeFrom="column">
              <wp:posOffset>1337945</wp:posOffset>
            </wp:positionH>
            <wp:positionV relativeFrom="paragraph">
              <wp:posOffset>116205</wp:posOffset>
            </wp:positionV>
            <wp:extent cx="717550" cy="704215"/>
            <wp:effectExtent l="0" t="0" r="6350" b="6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E4F">
        <w:rPr>
          <w:sz w:val="21"/>
          <w:szCs w:val="21"/>
        </w:rPr>
        <w:t>CATIC</w:t>
      </w:r>
    </w:p>
    <w:p w14:paraId="73E2BF25" w14:textId="77777777" w:rsidR="00555E4F" w:rsidRPr="00555E4F" w:rsidRDefault="00555E4F" w:rsidP="00555E4F">
      <w:pPr>
        <w:pStyle w:val="Default"/>
        <w:jc w:val="center"/>
        <w:rPr>
          <w:sz w:val="21"/>
          <w:szCs w:val="21"/>
        </w:rPr>
      </w:pPr>
    </w:p>
    <w:p w14:paraId="5CCBEF9E" w14:textId="77777777" w:rsidR="00555E4F" w:rsidRPr="00555E4F" w:rsidRDefault="00555E4F" w:rsidP="00555E4F">
      <w:pPr>
        <w:pStyle w:val="Default"/>
        <w:jc w:val="center"/>
        <w:rPr>
          <w:sz w:val="21"/>
          <w:szCs w:val="21"/>
        </w:rPr>
      </w:pPr>
      <w:r w:rsidRPr="00555E4F">
        <w:rPr>
          <w:noProof/>
          <w:sz w:val="21"/>
          <w:szCs w:val="21"/>
        </w:rPr>
        <w:drawing>
          <wp:inline distT="0" distB="0" distL="0" distR="0" wp14:anchorId="65217633" wp14:editId="4FC0758B">
            <wp:extent cx="1486601" cy="565879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48" cy="57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20AD" w14:textId="78A13170" w:rsidR="00555E4F" w:rsidRPr="00555E4F" w:rsidRDefault="00555E4F" w:rsidP="00555E4F">
      <w:pPr>
        <w:jc w:val="center"/>
        <w:rPr>
          <w:sz w:val="21"/>
          <w:szCs w:val="21"/>
        </w:rPr>
      </w:pPr>
      <w:r w:rsidRPr="00555E4F">
        <w:rPr>
          <w:sz w:val="21"/>
          <w:szCs w:val="21"/>
        </w:rPr>
        <w:t>JAMES M. CZAPIGA, PRESIDE</w:t>
      </w:r>
      <w:bookmarkEnd w:id="3"/>
      <w:r w:rsidRPr="00555E4F">
        <w:rPr>
          <w:sz w:val="21"/>
          <w:szCs w:val="21"/>
        </w:rPr>
        <w:t>NT</w:t>
      </w:r>
    </w:p>
    <w:sectPr w:rsidR="00555E4F" w:rsidRPr="00555E4F" w:rsidSect="00555E4F">
      <w:headerReference w:type="default" r:id="rId13"/>
      <w:footerReference w:type="default" r:id="rId14"/>
      <w:pgSz w:w="12245" w:h="15703"/>
      <w:pgMar w:top="720" w:right="720" w:bottom="720" w:left="720" w:header="72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9DE1" w14:textId="77777777" w:rsidR="009E034F" w:rsidRDefault="009E034F" w:rsidP="00D572AA">
      <w:r>
        <w:separator/>
      </w:r>
    </w:p>
  </w:endnote>
  <w:endnote w:type="continuationSeparator" w:id="0">
    <w:p w14:paraId="2E412578" w14:textId="77777777" w:rsidR="009E034F" w:rsidRDefault="009E034F" w:rsidP="00D572AA">
      <w:r>
        <w:continuationSeparator/>
      </w:r>
    </w:p>
  </w:endnote>
  <w:endnote w:type="continuationNotice" w:id="1">
    <w:p w14:paraId="0D6E819D" w14:textId="77777777" w:rsidR="009E034F" w:rsidRDefault="009E0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25A7" w14:textId="77777777" w:rsidR="00DB4CE9" w:rsidRPr="00555E4F" w:rsidRDefault="00DB4CE9" w:rsidP="00555E4F">
    <w:pPr>
      <w:pBdr>
        <w:bottom w:val="single" w:sz="12" w:space="0" w:color="auto"/>
      </w:pBdr>
      <w:tabs>
        <w:tab w:val="left" w:pos="1104"/>
      </w:tabs>
      <w:rPr>
        <w:bCs/>
        <w:sz w:val="16"/>
        <w:szCs w:val="16"/>
      </w:rPr>
    </w:pPr>
  </w:p>
  <w:p w14:paraId="26853616" w14:textId="77777777" w:rsidR="00DB4CE9" w:rsidRPr="00555E4F" w:rsidRDefault="00DB4CE9" w:rsidP="00555E4F">
    <w:pPr>
      <w:pStyle w:val="Header"/>
      <w:rPr>
        <w:bCs/>
        <w:sz w:val="16"/>
        <w:szCs w:val="16"/>
      </w:rPr>
    </w:pPr>
  </w:p>
  <w:p w14:paraId="5F78A93B" w14:textId="77777777" w:rsidR="00DB4CE9" w:rsidRPr="00555E4F" w:rsidRDefault="00DB4CE9" w:rsidP="00555E4F">
    <w:pPr>
      <w:pStyle w:val="Default"/>
      <w:tabs>
        <w:tab w:val="right" w:pos="10085"/>
      </w:tabs>
      <w:outlineLvl w:val="0"/>
      <w:rPr>
        <w:bCs/>
        <w:sz w:val="16"/>
        <w:szCs w:val="16"/>
      </w:rPr>
    </w:pPr>
    <w:r w:rsidRPr="00555E4F">
      <w:rPr>
        <w:bCs/>
        <w:sz w:val="16"/>
        <w:szCs w:val="16"/>
      </w:rPr>
      <w:t>ALTA Endorsement 30 (7-1-2021)</w:t>
    </w:r>
  </w:p>
  <w:p w14:paraId="330121F6" w14:textId="77777777" w:rsidR="00DB4CE9" w:rsidRPr="00555E4F" w:rsidRDefault="00DB4CE9" w:rsidP="00555E4F">
    <w:pPr>
      <w:pStyle w:val="Default"/>
      <w:tabs>
        <w:tab w:val="right" w:pos="10085"/>
      </w:tabs>
      <w:outlineLvl w:val="0"/>
      <w:rPr>
        <w:bCs/>
        <w:color w:val="auto"/>
        <w:sz w:val="16"/>
        <w:szCs w:val="16"/>
      </w:rPr>
    </w:pPr>
    <w:r w:rsidRPr="00555E4F">
      <w:rPr>
        <w:bCs/>
        <w:color w:val="auto"/>
        <w:sz w:val="16"/>
        <w:szCs w:val="16"/>
      </w:rPr>
      <w:t>One-to-Four Family Shared Appreciation Mortgage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8AC3" w14:textId="77777777" w:rsidR="009E034F" w:rsidRDefault="009E034F" w:rsidP="00D572AA">
      <w:r>
        <w:separator/>
      </w:r>
    </w:p>
  </w:footnote>
  <w:footnote w:type="continuationSeparator" w:id="0">
    <w:p w14:paraId="43A137E2" w14:textId="77777777" w:rsidR="009E034F" w:rsidRDefault="009E034F" w:rsidP="00D572AA">
      <w:r>
        <w:continuationSeparator/>
      </w:r>
    </w:p>
  </w:footnote>
  <w:footnote w:type="continuationNotice" w:id="1">
    <w:p w14:paraId="140987A3" w14:textId="77777777" w:rsidR="009E034F" w:rsidRDefault="009E0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96D8" w14:textId="77777777" w:rsidR="00DB4CE9" w:rsidRDefault="00DB4CE9" w:rsidP="00555E4F">
    <w:pPr>
      <w:jc w:val="right"/>
      <w:rPr>
        <w:rFonts w:cs="Arial"/>
        <w:bCs/>
      </w:rPr>
    </w:pPr>
    <w:r w:rsidRPr="00D603C5">
      <w:rPr>
        <w:noProof/>
      </w:rPr>
      <w:drawing>
        <wp:inline distT="0" distB="0" distL="0" distR="0" wp14:anchorId="7E338A23" wp14:editId="1A4751EF">
          <wp:extent cx="1666875" cy="447675"/>
          <wp:effectExtent l="0" t="0" r="9525" b="9525"/>
          <wp:docPr id="456482150" name="Picture 456482150" descr="1 30 17_catic-logo_no-tag_Horizontal_email_blue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 30 17_catic-logo_no-tag_Horizontal_email_blue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2C021" w14:textId="77777777" w:rsidR="00DB4CE9" w:rsidRDefault="00DB4CE9" w:rsidP="00555E4F">
    <w:pPr>
      <w:jc w:val="right"/>
      <w:rPr>
        <w:rFonts w:cs="Arial"/>
        <w:b/>
        <w:sz w:val="18"/>
      </w:rPr>
    </w:pPr>
    <w:r>
      <w:rPr>
        <w:rFonts w:cs="Arial"/>
        <w:b/>
        <w:sz w:val="18"/>
      </w:rPr>
      <w:tab/>
    </w:r>
    <w:r w:rsidRPr="00D603C5">
      <w:rPr>
        <w:rFonts w:cs="Arial"/>
        <w:b/>
        <w:sz w:val="18"/>
      </w:rPr>
      <w:t>101 Corporate Place, Rocky Hill, CT 06067</w:t>
    </w:r>
  </w:p>
  <w:p w14:paraId="41016C6F" w14:textId="77777777" w:rsidR="00DB4CE9" w:rsidRDefault="00DB4CE9" w:rsidP="00555E4F">
    <w:pPr>
      <w:tabs>
        <w:tab w:val="right" w:pos="10800"/>
      </w:tabs>
      <w:rPr>
        <w:rFonts w:cs="Arial"/>
        <w:b/>
        <w:sz w:val="18"/>
      </w:rPr>
    </w:pPr>
  </w:p>
  <w:p w14:paraId="6EA9ABDF" w14:textId="77777777" w:rsidR="00DB4CE9" w:rsidRPr="00555E4F" w:rsidRDefault="00DB4CE9" w:rsidP="00555E4F">
    <w:pPr>
      <w:tabs>
        <w:tab w:val="right" w:pos="10800"/>
      </w:tabs>
      <w:rPr>
        <w:rFonts w:cs="Arial"/>
        <w:b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D1F02FC" wp14:editId="69C24A1F">
              <wp:simplePos x="0" y="0"/>
              <wp:positionH relativeFrom="margin">
                <wp:align>left</wp:align>
              </wp:positionH>
              <wp:positionV relativeFrom="paragraph">
                <wp:posOffset>5471</wp:posOffset>
              </wp:positionV>
              <wp:extent cx="6869430" cy="11430"/>
              <wp:effectExtent l="19050" t="19050" r="26670" b="26670"/>
              <wp:wrapNone/>
              <wp:docPr id="128231939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9430" cy="114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C2329"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45pt" to="54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B69"/>
    <w:multiLevelType w:val="singleLevel"/>
    <w:tmpl w:val="59601F8C"/>
    <w:lvl w:ilvl="0">
      <w:start w:val="1"/>
      <w:numFmt w:val="lowerLetter"/>
      <w:lvlText w:val="(%1)"/>
      <w:lvlJc w:val="left"/>
      <w:pPr>
        <w:tabs>
          <w:tab w:val="num" w:pos="504"/>
        </w:tabs>
        <w:ind w:left="1440" w:hanging="504"/>
      </w:pPr>
      <w:rPr>
        <w:rFonts w:ascii="Arial" w:hAnsi="Arial" w:cs="Arial"/>
        <w:snapToGrid/>
        <w:spacing w:val="1"/>
        <w:sz w:val="20"/>
        <w:szCs w:val="20"/>
      </w:rPr>
    </w:lvl>
  </w:abstractNum>
  <w:abstractNum w:abstractNumId="1" w15:restartNumberingAfterBreak="0">
    <w:nsid w:val="06DC07EF"/>
    <w:multiLevelType w:val="singleLevel"/>
    <w:tmpl w:val="2A9CEDBC"/>
    <w:lvl w:ilvl="0">
      <w:start w:val="1"/>
      <w:numFmt w:val="lowerLetter"/>
      <w:lvlText w:val="(%1)"/>
      <w:lvlJc w:val="left"/>
      <w:pPr>
        <w:tabs>
          <w:tab w:val="num" w:pos="504"/>
        </w:tabs>
        <w:ind w:left="936"/>
      </w:pPr>
      <w:rPr>
        <w:rFonts w:ascii="Arial" w:hAnsi="Arial" w:cs="Arial"/>
        <w:snapToGrid/>
        <w:sz w:val="20"/>
        <w:szCs w:val="20"/>
      </w:rPr>
    </w:lvl>
  </w:abstractNum>
  <w:abstractNum w:abstractNumId="2" w15:restartNumberingAfterBreak="0">
    <w:nsid w:val="24FF071E"/>
    <w:multiLevelType w:val="multilevel"/>
    <w:tmpl w:val="24B21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Restart w:val="0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51133252">
    <w:abstractNumId w:val="0"/>
  </w:num>
  <w:num w:numId="2" w16cid:durableId="459417456">
    <w:abstractNumId w:val="1"/>
  </w:num>
  <w:num w:numId="3" w16cid:durableId="35338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L9m0N5J64nzXveccfF3jcIoq0zByctXYSTMdAeX0iZgKZsPuaAUK0F+v1KD7EGyxLTub2mzGAKVoKo+YX1r4rw==" w:salt="OAx3PbyDKdvkx9tXa2B6tA==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43"/>
    <w:rsid w:val="000166F6"/>
    <w:rsid w:val="00034134"/>
    <w:rsid w:val="00034CEE"/>
    <w:rsid w:val="000719F2"/>
    <w:rsid w:val="00085678"/>
    <w:rsid w:val="000D0005"/>
    <w:rsid w:val="000F6B59"/>
    <w:rsid w:val="001232B4"/>
    <w:rsid w:val="001939B8"/>
    <w:rsid w:val="001B3326"/>
    <w:rsid w:val="001B6948"/>
    <w:rsid w:val="001E50FE"/>
    <w:rsid w:val="001E66C6"/>
    <w:rsid w:val="0021321C"/>
    <w:rsid w:val="002335E8"/>
    <w:rsid w:val="00247716"/>
    <w:rsid w:val="002565EC"/>
    <w:rsid w:val="0026201D"/>
    <w:rsid w:val="00272D2B"/>
    <w:rsid w:val="002F573D"/>
    <w:rsid w:val="003009A4"/>
    <w:rsid w:val="003135D1"/>
    <w:rsid w:val="00333654"/>
    <w:rsid w:val="003446DB"/>
    <w:rsid w:val="00382D52"/>
    <w:rsid w:val="003A063D"/>
    <w:rsid w:val="003C14F7"/>
    <w:rsid w:val="003C55EA"/>
    <w:rsid w:val="003F0A5D"/>
    <w:rsid w:val="004062BB"/>
    <w:rsid w:val="004118FA"/>
    <w:rsid w:val="00422C27"/>
    <w:rsid w:val="00431E09"/>
    <w:rsid w:val="004765DB"/>
    <w:rsid w:val="00480391"/>
    <w:rsid w:val="004977F5"/>
    <w:rsid w:val="004A2898"/>
    <w:rsid w:val="004A2B2E"/>
    <w:rsid w:val="004D1502"/>
    <w:rsid w:val="00506C63"/>
    <w:rsid w:val="00555E4F"/>
    <w:rsid w:val="00590BBB"/>
    <w:rsid w:val="005A5E93"/>
    <w:rsid w:val="006019BF"/>
    <w:rsid w:val="00637ACD"/>
    <w:rsid w:val="00676A9F"/>
    <w:rsid w:val="006C53EC"/>
    <w:rsid w:val="006F59A4"/>
    <w:rsid w:val="00711810"/>
    <w:rsid w:val="00722883"/>
    <w:rsid w:val="00730C27"/>
    <w:rsid w:val="00731F5A"/>
    <w:rsid w:val="00763C4E"/>
    <w:rsid w:val="00767085"/>
    <w:rsid w:val="00781015"/>
    <w:rsid w:val="0078297E"/>
    <w:rsid w:val="007C1148"/>
    <w:rsid w:val="007F5E8E"/>
    <w:rsid w:val="007F7B18"/>
    <w:rsid w:val="008131FA"/>
    <w:rsid w:val="00832F46"/>
    <w:rsid w:val="008526ED"/>
    <w:rsid w:val="00893F95"/>
    <w:rsid w:val="00895F80"/>
    <w:rsid w:val="008B0DD7"/>
    <w:rsid w:val="008B7044"/>
    <w:rsid w:val="00905DBE"/>
    <w:rsid w:val="00923617"/>
    <w:rsid w:val="009724CF"/>
    <w:rsid w:val="00981FF4"/>
    <w:rsid w:val="00985E2B"/>
    <w:rsid w:val="00990AF9"/>
    <w:rsid w:val="009A4542"/>
    <w:rsid w:val="009A7BA8"/>
    <w:rsid w:val="009C2A40"/>
    <w:rsid w:val="009E034F"/>
    <w:rsid w:val="009F438B"/>
    <w:rsid w:val="00A52D4B"/>
    <w:rsid w:val="00A91E22"/>
    <w:rsid w:val="00B10C85"/>
    <w:rsid w:val="00B41FB0"/>
    <w:rsid w:val="00BA0547"/>
    <w:rsid w:val="00BC5A4A"/>
    <w:rsid w:val="00BE3B18"/>
    <w:rsid w:val="00C346D5"/>
    <w:rsid w:val="00C401E8"/>
    <w:rsid w:val="00C40CC6"/>
    <w:rsid w:val="00C7280D"/>
    <w:rsid w:val="00C73F02"/>
    <w:rsid w:val="00C86859"/>
    <w:rsid w:val="00C91F66"/>
    <w:rsid w:val="00C955F8"/>
    <w:rsid w:val="00CC20C0"/>
    <w:rsid w:val="00CE5641"/>
    <w:rsid w:val="00D06D99"/>
    <w:rsid w:val="00D13FBE"/>
    <w:rsid w:val="00D3526D"/>
    <w:rsid w:val="00D572AA"/>
    <w:rsid w:val="00D6504B"/>
    <w:rsid w:val="00D87A83"/>
    <w:rsid w:val="00DB4CE9"/>
    <w:rsid w:val="00DC5DEE"/>
    <w:rsid w:val="00DD4BF4"/>
    <w:rsid w:val="00DE4425"/>
    <w:rsid w:val="00E0707D"/>
    <w:rsid w:val="00E34742"/>
    <w:rsid w:val="00E45774"/>
    <w:rsid w:val="00E47772"/>
    <w:rsid w:val="00E5019F"/>
    <w:rsid w:val="00E51CAF"/>
    <w:rsid w:val="00E61253"/>
    <w:rsid w:val="00E65D41"/>
    <w:rsid w:val="00E94B43"/>
    <w:rsid w:val="00EB14FB"/>
    <w:rsid w:val="00ED1D47"/>
    <w:rsid w:val="00F24E27"/>
    <w:rsid w:val="00F8520C"/>
    <w:rsid w:val="00FA6452"/>
    <w:rsid w:val="00FB77E1"/>
    <w:rsid w:val="00FB7827"/>
    <w:rsid w:val="00FD4D60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474BC63"/>
  <w15:chartTrackingRefBased/>
  <w15:docId w15:val="{6443D89C-4D7C-4290-9CEE-2DEF450B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38B"/>
    <w:pPr>
      <w:keepNext/>
      <w:pBdr>
        <w:bottom w:val="single" w:sz="12" w:space="1" w:color="auto"/>
      </w:pBdr>
      <w:shd w:val="clear" w:color="auto" w:fill="FFA8B8" w:themeFill="accent2" w:themeFillTint="66"/>
      <w:tabs>
        <w:tab w:val="center" w:pos="4680"/>
        <w:tab w:val="right" w:pos="10085"/>
      </w:tabs>
      <w:outlineLvl w:val="0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E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A005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236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2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A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57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2A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572A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E45774"/>
    <w:rPr>
      <w:b/>
      <w:bCs/>
    </w:rPr>
  </w:style>
  <w:style w:type="paragraph" w:customStyle="1" w:styleId="Header1">
    <w:name w:val="Header1"/>
    <w:basedOn w:val="Header"/>
    <w:rsid w:val="00E65D41"/>
    <w:pPr>
      <w:widowControl/>
      <w:pBdr>
        <w:bottom w:val="single" w:sz="18" w:space="1" w:color="auto"/>
      </w:pBdr>
      <w:tabs>
        <w:tab w:val="clear" w:pos="4680"/>
        <w:tab w:val="center" w:pos="4320"/>
      </w:tabs>
      <w:autoSpaceDE/>
      <w:autoSpaceDN/>
      <w:adjustRightInd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54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A063D"/>
  </w:style>
  <w:style w:type="paragraph" w:styleId="BlockText">
    <w:name w:val="Block Text"/>
    <w:basedOn w:val="Normal"/>
    <w:uiPriority w:val="99"/>
    <w:unhideWhenUsed/>
    <w:rsid w:val="00C86859"/>
    <w:pPr>
      <w:widowControl/>
      <w:adjustRightInd/>
      <w:ind w:left="1400" w:right="-35" w:hanging="700"/>
      <w:jc w:val="both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9F438B"/>
    <w:rPr>
      <w:rFonts w:ascii="Arial" w:hAnsi="Arial" w:cs="Arial"/>
      <w:b/>
      <w:bCs/>
      <w:sz w:val="16"/>
      <w:szCs w:val="16"/>
      <w:shd w:val="clear" w:color="auto" w:fill="FFA8B8" w:themeFill="accent2" w:themeFillTint="66"/>
    </w:rPr>
  </w:style>
  <w:style w:type="paragraph" w:styleId="Revision">
    <w:name w:val="Revision"/>
    <w:hidden/>
    <w:uiPriority w:val="99"/>
    <w:semiHidden/>
    <w:rsid w:val="00923617"/>
    <w:rPr>
      <w:rFonts w:ascii="Times New Roman" w:hAnsi="Times New Roman"/>
    </w:rPr>
  </w:style>
  <w:style w:type="character" w:styleId="Hyperlink">
    <w:name w:val="Hyperlink"/>
    <w:rsid w:val="009A7BA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E4F"/>
    <w:rPr>
      <w:rFonts w:asciiTheme="majorHAnsi" w:eastAsiaTheme="majorEastAsia" w:hAnsiTheme="majorHAnsi" w:cstheme="majorBidi"/>
      <w:color w:val="8A005E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EME--1">
  <a:themeElements>
    <a:clrScheme name="COLOR--2">
      <a:dk1>
        <a:sysClr val="windowText" lastClr="000000"/>
      </a:dk1>
      <a:lt1>
        <a:sysClr val="window" lastClr="FFFFFF"/>
      </a:lt1>
      <a:dk2>
        <a:srgbClr val="810945"/>
      </a:dk2>
      <a:lt2>
        <a:srgbClr val="8037FF"/>
      </a:lt2>
      <a:accent1>
        <a:srgbClr val="FF17B6"/>
      </a:accent1>
      <a:accent2>
        <a:srgbClr val="FF264F"/>
      </a:accent2>
      <a:accent3>
        <a:srgbClr val="FF9933"/>
      </a:accent3>
      <a:accent4>
        <a:srgbClr val="D1FF03"/>
      </a:accent4>
      <a:accent5>
        <a:srgbClr val="16DE87"/>
      </a:accent5>
      <a:accent6>
        <a:srgbClr val="06BFD8"/>
      </a:accent6>
      <a:hlink>
        <a:srgbClr val="0000FF"/>
      </a:hlink>
      <a:folHlink>
        <a:srgbClr val="18044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--1" id="{6223FF5B-7866-45C8-941D-A562B1E87944}" vid="{01F7398E-5749-4C69-A670-75521246A19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1715880DACF4FB7D4B40C2F0F6C96" ma:contentTypeVersion="5" ma:contentTypeDescription="Create a new document." ma:contentTypeScope="" ma:versionID="44d26d4239ee7a67d524c8072a006ad5">
  <xsd:schema xmlns:xsd="http://www.w3.org/2001/XMLSchema" xmlns:xs="http://www.w3.org/2001/XMLSchema" xmlns:p="http://schemas.microsoft.com/office/2006/metadata/properties" xmlns:ns2="15ddf1d2-a5ce-4eba-8e34-9286d0b28623" targetNamespace="http://schemas.microsoft.com/office/2006/metadata/properties" ma:root="true" ma:fieldsID="d50677ff23a9af953671b65cefe57c33" ns2:_="">
    <xsd:import namespace="15ddf1d2-a5ce-4eba-8e34-9286d0b2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df1d2-a5ce-4eba-8e34-9286d0b28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A960-3F0B-4BF3-8A26-B7D9217FD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24841-1281-4631-9940-1687FA8B0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df1d2-a5ce-4eba-8e34-9286d0b28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5DCAE-1CCF-42D6-9AFA-5C30453F1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3684A4-8ABE-4994-AC35-A501DCEF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ALTA  Endorsement 30-06 Shared Appreciation Mortgage 07-26-2010</vt:lpstr>
    </vt:vector>
  </TitlesOfParts>
  <Company>American Land Title Association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 Endorsement 30-06 Shared Appreciation Mortgage 07-26-2010</dc:title>
  <dc:subject/>
  <dc:creator>ALTA Forms Committee</dc:creator>
  <cp:keywords/>
  <cp:lastModifiedBy>Finnie Lau</cp:lastModifiedBy>
  <cp:revision>5</cp:revision>
  <cp:lastPrinted>2010-01-13T18:42:00Z</cp:lastPrinted>
  <dcterms:created xsi:type="dcterms:W3CDTF">2021-10-06T17:24:00Z</dcterms:created>
  <dcterms:modified xsi:type="dcterms:W3CDTF">2023-11-06T17:22:00Z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0x01010063D1715880DACF4FB7D4B40C2F0F6C96</vt:lpwstr>
  </property>
  <property fmtid="{D5CDD505-2E9C-101B-9397-08002B2CF9AE}" pid="3" name="Order">
    <vt:r8>52800</vt:r8>
  </property>
</Properties>
</file>