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485B" w14:textId="6D8F9F2D" w:rsidR="008F6A1E" w:rsidRDefault="008F6A1E" w:rsidP="008F6A1E">
      <w:pPr>
        <w:jc w:val="center"/>
        <w:rPr>
          <w:b/>
          <w:bCs/>
          <w:sz w:val="24"/>
          <w:szCs w:val="24"/>
        </w:rPr>
      </w:pPr>
      <w:r>
        <w:rPr>
          <w:b/>
          <w:bCs/>
          <w:sz w:val="24"/>
          <w:szCs w:val="24"/>
        </w:rPr>
        <w:t>INSTRUCTIONS FOR ALTA ENDORSEMENT FORM 3.2</w:t>
      </w:r>
    </w:p>
    <w:p w14:paraId="7E61D6A6" w14:textId="4CFFBF92" w:rsidR="008F6A1E" w:rsidRDefault="008F6A1E" w:rsidP="008F6A1E">
      <w:pPr>
        <w:jc w:val="center"/>
        <w:rPr>
          <w:b/>
          <w:bCs/>
          <w:sz w:val="24"/>
          <w:szCs w:val="24"/>
        </w:rPr>
      </w:pPr>
      <w:r>
        <w:rPr>
          <w:b/>
          <w:bCs/>
          <w:sz w:val="24"/>
          <w:szCs w:val="24"/>
        </w:rPr>
        <w:t>ZONING – LAND UNDER DEVELOPMENT</w:t>
      </w:r>
    </w:p>
    <w:p w14:paraId="6779ACE7" w14:textId="77777777" w:rsidR="008F6A1E" w:rsidRPr="008F6A1E" w:rsidRDefault="008F6A1E" w:rsidP="008F6A1E">
      <w:pPr>
        <w:jc w:val="center"/>
        <w:rPr>
          <w:b/>
          <w:bCs/>
          <w:sz w:val="24"/>
          <w:szCs w:val="24"/>
        </w:rPr>
      </w:pPr>
    </w:p>
    <w:p w14:paraId="1DF09803" w14:textId="77777777" w:rsidR="008F6A1E" w:rsidRPr="008F6A1E" w:rsidRDefault="008F6A1E" w:rsidP="008F6A1E">
      <w:pPr>
        <w:rPr>
          <w:sz w:val="24"/>
          <w:szCs w:val="24"/>
        </w:rPr>
      </w:pPr>
    </w:p>
    <w:p w14:paraId="32047379" w14:textId="77777777" w:rsidR="008F6A1E" w:rsidRPr="008F6A1E" w:rsidRDefault="008F6A1E" w:rsidP="008F6A1E">
      <w:pPr>
        <w:jc w:val="both"/>
        <w:rPr>
          <w:b/>
          <w:bCs/>
          <w:sz w:val="24"/>
          <w:szCs w:val="24"/>
        </w:rPr>
      </w:pPr>
      <w:r w:rsidRPr="008F6A1E">
        <w:rPr>
          <w:b/>
          <w:bCs/>
          <w:sz w:val="24"/>
          <w:szCs w:val="24"/>
        </w:rPr>
        <w:t>PURPOSE OF ENDORSEMENT</w:t>
      </w:r>
    </w:p>
    <w:p w14:paraId="6FCEAE43" w14:textId="77777777" w:rsidR="008F6A1E" w:rsidRPr="008F6A1E" w:rsidRDefault="008F6A1E" w:rsidP="008F6A1E">
      <w:pPr>
        <w:jc w:val="both"/>
        <w:rPr>
          <w:sz w:val="24"/>
          <w:szCs w:val="24"/>
        </w:rPr>
      </w:pPr>
    </w:p>
    <w:p w14:paraId="0FD2C502" w14:textId="03925B0D" w:rsidR="008F6A1E" w:rsidRPr="008F6A1E" w:rsidRDefault="008F6A1E" w:rsidP="008F6A1E">
      <w:pPr>
        <w:jc w:val="both"/>
        <w:rPr>
          <w:sz w:val="24"/>
          <w:szCs w:val="24"/>
        </w:rPr>
      </w:pPr>
      <w:r w:rsidRPr="008F6A1E">
        <w:rPr>
          <w:sz w:val="24"/>
          <w:szCs w:val="24"/>
        </w:rPr>
        <w:t>The ALTA 3.2 Zoning – Land Under Development Endorsement is designed for issuance on improved property or land on which plans have been approved but work either has not yet begun or is in process. Like the ALTA Endorsement Forms 3 and 3.1, this Endorsement insures</w:t>
      </w:r>
      <w:r>
        <w:rPr>
          <w:sz w:val="24"/>
          <w:szCs w:val="24"/>
        </w:rPr>
        <w:t xml:space="preserve"> </w:t>
      </w:r>
      <w:r w:rsidRPr="008F6A1E">
        <w:rPr>
          <w:sz w:val="24"/>
          <w:szCs w:val="24"/>
        </w:rPr>
        <w:t>(1) the zoning classification, and (2) authorized uses under that classification. This Endorsement also insures against a final court order prohibiting the present structure, and requiring removal or alteration of either a present Improvement or any proposed Improvement to be built according to Plans defined in the endorsement, because of the violation of the certain zoning ordinances.</w:t>
      </w:r>
    </w:p>
    <w:p w14:paraId="23DC9207" w14:textId="77777777" w:rsidR="008F6A1E" w:rsidRPr="008F6A1E" w:rsidRDefault="008F6A1E" w:rsidP="008F6A1E">
      <w:pPr>
        <w:jc w:val="both"/>
        <w:rPr>
          <w:sz w:val="24"/>
          <w:szCs w:val="24"/>
        </w:rPr>
      </w:pPr>
    </w:p>
    <w:p w14:paraId="5FDAE823" w14:textId="77777777" w:rsidR="008F6A1E" w:rsidRPr="008F6A1E" w:rsidRDefault="008F6A1E" w:rsidP="008F6A1E">
      <w:pPr>
        <w:jc w:val="both"/>
        <w:rPr>
          <w:b/>
          <w:bCs/>
          <w:sz w:val="24"/>
          <w:szCs w:val="24"/>
        </w:rPr>
      </w:pPr>
      <w:r w:rsidRPr="008F6A1E">
        <w:rPr>
          <w:b/>
          <w:bCs/>
          <w:sz w:val="24"/>
          <w:szCs w:val="24"/>
        </w:rPr>
        <w:t>UNDERWRITING REQUIREMENTS</w:t>
      </w:r>
    </w:p>
    <w:p w14:paraId="6C087F7F" w14:textId="77777777" w:rsidR="008F6A1E" w:rsidRPr="008F6A1E" w:rsidRDefault="008F6A1E" w:rsidP="008F6A1E">
      <w:pPr>
        <w:jc w:val="both"/>
        <w:rPr>
          <w:sz w:val="24"/>
          <w:szCs w:val="24"/>
        </w:rPr>
      </w:pPr>
    </w:p>
    <w:p w14:paraId="1D1023D9" w14:textId="20BBC323" w:rsidR="008F6A1E" w:rsidRPr="008F6A1E" w:rsidRDefault="008F6A1E" w:rsidP="008F6A1E">
      <w:pPr>
        <w:pStyle w:val="ListParagraph"/>
        <w:numPr>
          <w:ilvl w:val="0"/>
          <w:numId w:val="9"/>
        </w:numPr>
        <w:ind w:hanging="720"/>
        <w:jc w:val="both"/>
        <w:rPr>
          <w:sz w:val="24"/>
          <w:szCs w:val="24"/>
        </w:rPr>
      </w:pPr>
      <w:r w:rsidRPr="008F6A1E">
        <w:rPr>
          <w:sz w:val="24"/>
          <w:szCs w:val="24"/>
        </w:rPr>
        <w:t>Verify the zoning classification of the land and the allowed uses in that zone. (See underwriting requirements for Zoning 3). Place this information in paragraphs 2a. and 2b. of the endorsement, as applicable.</w:t>
      </w:r>
    </w:p>
    <w:p w14:paraId="0F3C074A" w14:textId="77777777" w:rsidR="008F6A1E" w:rsidRPr="008F6A1E" w:rsidRDefault="008F6A1E" w:rsidP="008F6A1E">
      <w:pPr>
        <w:ind w:hanging="720"/>
        <w:jc w:val="both"/>
        <w:rPr>
          <w:sz w:val="24"/>
          <w:szCs w:val="24"/>
        </w:rPr>
      </w:pPr>
    </w:p>
    <w:p w14:paraId="0CF051FD" w14:textId="77777777" w:rsidR="008F6A1E" w:rsidRPr="008F6A1E" w:rsidRDefault="008F6A1E" w:rsidP="008F6A1E">
      <w:pPr>
        <w:pStyle w:val="ListParagraph"/>
        <w:numPr>
          <w:ilvl w:val="0"/>
          <w:numId w:val="9"/>
        </w:numPr>
        <w:ind w:hanging="720"/>
        <w:jc w:val="both"/>
        <w:rPr>
          <w:sz w:val="24"/>
          <w:szCs w:val="24"/>
        </w:rPr>
      </w:pPr>
      <w:r w:rsidRPr="008F6A1E">
        <w:rPr>
          <w:sz w:val="24"/>
          <w:szCs w:val="24"/>
        </w:rPr>
        <w:t xml:space="preserve">Obtain current plans which show the proposed improvements on the land (Plans). Identify the Plans in paragraph 1b. of the endorsement. </w:t>
      </w:r>
    </w:p>
    <w:p w14:paraId="7A8621E9" w14:textId="77777777" w:rsidR="008F6A1E" w:rsidRPr="008F6A1E" w:rsidRDefault="008F6A1E" w:rsidP="008F6A1E">
      <w:pPr>
        <w:ind w:hanging="720"/>
        <w:jc w:val="both"/>
        <w:rPr>
          <w:sz w:val="24"/>
          <w:szCs w:val="24"/>
        </w:rPr>
      </w:pPr>
    </w:p>
    <w:p w14:paraId="06CFE108" w14:textId="77777777" w:rsidR="008F6A1E" w:rsidRPr="008F6A1E" w:rsidRDefault="008F6A1E" w:rsidP="008F6A1E">
      <w:pPr>
        <w:pStyle w:val="ListParagraph"/>
        <w:numPr>
          <w:ilvl w:val="0"/>
          <w:numId w:val="9"/>
        </w:numPr>
        <w:ind w:hanging="720"/>
        <w:jc w:val="both"/>
        <w:rPr>
          <w:sz w:val="24"/>
          <w:szCs w:val="24"/>
        </w:rPr>
      </w:pPr>
      <w:r w:rsidRPr="008F6A1E">
        <w:rPr>
          <w:sz w:val="24"/>
          <w:szCs w:val="24"/>
        </w:rPr>
        <w:t>Obtain a current ALTA survey or equivalent, certified to CATIC, showing the existing improvements as well as all of the proposed improvements. If the current ALTA survey or equivalent satisfies this Requirement, the survey can also serve as the Plans.</w:t>
      </w:r>
    </w:p>
    <w:p w14:paraId="6FF8AD45" w14:textId="77777777" w:rsidR="008F6A1E" w:rsidRPr="008F6A1E" w:rsidRDefault="008F6A1E" w:rsidP="008F6A1E">
      <w:pPr>
        <w:ind w:hanging="720"/>
        <w:jc w:val="both"/>
        <w:rPr>
          <w:sz w:val="24"/>
          <w:szCs w:val="24"/>
        </w:rPr>
      </w:pPr>
    </w:p>
    <w:p w14:paraId="321C2734" w14:textId="77777777" w:rsidR="008F6A1E" w:rsidRPr="008F6A1E" w:rsidRDefault="008F6A1E" w:rsidP="008F6A1E">
      <w:pPr>
        <w:pStyle w:val="ListParagraph"/>
        <w:numPr>
          <w:ilvl w:val="0"/>
          <w:numId w:val="9"/>
        </w:numPr>
        <w:ind w:hanging="720"/>
        <w:jc w:val="both"/>
        <w:rPr>
          <w:sz w:val="24"/>
          <w:szCs w:val="24"/>
        </w:rPr>
      </w:pPr>
      <w:r w:rsidRPr="008F6A1E">
        <w:rPr>
          <w:sz w:val="24"/>
          <w:szCs w:val="24"/>
        </w:rPr>
        <w:t>The survey must also contain a zoning matrix showing the following zoning requirements and whether the Improvements, meaning those already existing and those to be built in accordance with the Plans, comply with the zoning requirements regarding:</w:t>
      </w:r>
    </w:p>
    <w:p w14:paraId="7D18C888" w14:textId="77777777" w:rsidR="008F6A1E" w:rsidRPr="008F6A1E" w:rsidRDefault="008F6A1E" w:rsidP="008F6A1E">
      <w:pPr>
        <w:jc w:val="both"/>
        <w:rPr>
          <w:sz w:val="24"/>
          <w:szCs w:val="24"/>
        </w:rPr>
      </w:pPr>
    </w:p>
    <w:p w14:paraId="3AD21705" w14:textId="77777777" w:rsidR="008F6A1E" w:rsidRPr="008F6A1E" w:rsidRDefault="008F6A1E" w:rsidP="008F6A1E">
      <w:pPr>
        <w:pStyle w:val="ListParagraph"/>
        <w:numPr>
          <w:ilvl w:val="0"/>
          <w:numId w:val="10"/>
        </w:numPr>
        <w:ind w:hanging="720"/>
        <w:jc w:val="both"/>
        <w:rPr>
          <w:sz w:val="24"/>
          <w:szCs w:val="24"/>
        </w:rPr>
      </w:pPr>
      <w:r w:rsidRPr="008F6A1E">
        <w:rPr>
          <w:sz w:val="24"/>
          <w:szCs w:val="24"/>
        </w:rPr>
        <w:t xml:space="preserve">Area, </w:t>
      </w:r>
      <w:proofErr w:type="gramStart"/>
      <w:r w:rsidRPr="008F6A1E">
        <w:rPr>
          <w:sz w:val="24"/>
          <w:szCs w:val="24"/>
        </w:rPr>
        <w:t>width</w:t>
      </w:r>
      <w:proofErr w:type="gramEnd"/>
      <w:r w:rsidRPr="008F6A1E">
        <w:rPr>
          <w:sz w:val="24"/>
          <w:szCs w:val="24"/>
        </w:rPr>
        <w:t xml:space="preserve"> or depth of the land as a building site,</w:t>
      </w:r>
    </w:p>
    <w:p w14:paraId="28CA0059" w14:textId="77777777" w:rsidR="008F6A1E" w:rsidRPr="008F6A1E" w:rsidRDefault="008F6A1E" w:rsidP="008F6A1E">
      <w:pPr>
        <w:pStyle w:val="ListParagraph"/>
        <w:numPr>
          <w:ilvl w:val="0"/>
          <w:numId w:val="10"/>
        </w:numPr>
        <w:ind w:hanging="720"/>
        <w:jc w:val="both"/>
        <w:rPr>
          <w:sz w:val="24"/>
          <w:szCs w:val="24"/>
        </w:rPr>
      </w:pPr>
      <w:r w:rsidRPr="008F6A1E">
        <w:rPr>
          <w:sz w:val="24"/>
          <w:szCs w:val="24"/>
        </w:rPr>
        <w:t>Floor area space of the structure,</w:t>
      </w:r>
    </w:p>
    <w:p w14:paraId="687C0E87" w14:textId="77777777" w:rsidR="008F6A1E" w:rsidRPr="008F6A1E" w:rsidRDefault="008F6A1E" w:rsidP="008F6A1E">
      <w:pPr>
        <w:pStyle w:val="ListParagraph"/>
        <w:numPr>
          <w:ilvl w:val="0"/>
          <w:numId w:val="10"/>
        </w:numPr>
        <w:ind w:hanging="720"/>
        <w:jc w:val="both"/>
        <w:rPr>
          <w:sz w:val="24"/>
          <w:szCs w:val="24"/>
        </w:rPr>
      </w:pPr>
      <w:r w:rsidRPr="008F6A1E">
        <w:rPr>
          <w:sz w:val="24"/>
          <w:szCs w:val="24"/>
        </w:rPr>
        <w:t>Setback of the structure,</w:t>
      </w:r>
    </w:p>
    <w:p w14:paraId="7A4633B8" w14:textId="77777777" w:rsidR="008F6A1E" w:rsidRPr="008F6A1E" w:rsidRDefault="008F6A1E" w:rsidP="008F6A1E">
      <w:pPr>
        <w:pStyle w:val="ListParagraph"/>
        <w:numPr>
          <w:ilvl w:val="0"/>
          <w:numId w:val="10"/>
        </w:numPr>
        <w:ind w:hanging="720"/>
        <w:jc w:val="both"/>
        <w:rPr>
          <w:sz w:val="24"/>
          <w:szCs w:val="24"/>
        </w:rPr>
      </w:pPr>
      <w:r w:rsidRPr="008F6A1E">
        <w:rPr>
          <w:sz w:val="24"/>
          <w:szCs w:val="24"/>
        </w:rPr>
        <w:t>Height of the structure, and</w:t>
      </w:r>
    </w:p>
    <w:p w14:paraId="723B2283" w14:textId="77777777" w:rsidR="008F6A1E" w:rsidRPr="008F6A1E" w:rsidRDefault="008F6A1E" w:rsidP="008F6A1E">
      <w:pPr>
        <w:pStyle w:val="ListParagraph"/>
        <w:numPr>
          <w:ilvl w:val="0"/>
          <w:numId w:val="10"/>
        </w:numPr>
        <w:ind w:hanging="720"/>
        <w:jc w:val="both"/>
        <w:rPr>
          <w:sz w:val="24"/>
          <w:szCs w:val="24"/>
        </w:rPr>
      </w:pPr>
      <w:r w:rsidRPr="008F6A1E">
        <w:rPr>
          <w:sz w:val="24"/>
          <w:szCs w:val="24"/>
        </w:rPr>
        <w:t>Number of parking spaces.</w:t>
      </w:r>
    </w:p>
    <w:p w14:paraId="61A7E16A" w14:textId="77777777" w:rsidR="008F6A1E" w:rsidRPr="008F6A1E" w:rsidRDefault="008F6A1E" w:rsidP="008F6A1E">
      <w:pPr>
        <w:jc w:val="both"/>
        <w:rPr>
          <w:sz w:val="24"/>
          <w:szCs w:val="24"/>
        </w:rPr>
      </w:pPr>
    </w:p>
    <w:p w14:paraId="007F9A05" w14:textId="2FEA9059" w:rsidR="008F6A1E" w:rsidRPr="008F6A1E" w:rsidRDefault="008F6A1E" w:rsidP="008F6A1E">
      <w:pPr>
        <w:pStyle w:val="ListParagraph"/>
        <w:numPr>
          <w:ilvl w:val="0"/>
          <w:numId w:val="9"/>
        </w:numPr>
        <w:ind w:hanging="720"/>
        <w:jc w:val="both"/>
        <w:rPr>
          <w:sz w:val="24"/>
          <w:szCs w:val="24"/>
        </w:rPr>
      </w:pPr>
      <w:r w:rsidRPr="008F6A1E">
        <w:rPr>
          <w:sz w:val="24"/>
          <w:szCs w:val="24"/>
        </w:rPr>
        <w:t>This endorsement must be reviewed and approved by a CATIC Underwriting Counsel prior to issuance.</w:t>
      </w:r>
    </w:p>
    <w:p w14:paraId="3A44649E" w14:textId="77777777" w:rsidR="008F6A1E" w:rsidRPr="008F6A1E" w:rsidRDefault="008F6A1E" w:rsidP="008F6A1E">
      <w:pPr>
        <w:jc w:val="both"/>
        <w:rPr>
          <w:sz w:val="24"/>
          <w:szCs w:val="24"/>
        </w:rPr>
      </w:pPr>
    </w:p>
    <w:p w14:paraId="6CD4E115" w14:textId="77777777" w:rsidR="008F6A1E" w:rsidRPr="008F6A1E" w:rsidRDefault="008F6A1E" w:rsidP="008F6A1E">
      <w:pPr>
        <w:jc w:val="both"/>
        <w:rPr>
          <w:b/>
          <w:bCs/>
          <w:sz w:val="24"/>
          <w:szCs w:val="24"/>
        </w:rPr>
      </w:pPr>
      <w:r w:rsidRPr="008F6A1E">
        <w:rPr>
          <w:b/>
          <w:bCs/>
          <w:sz w:val="24"/>
          <w:szCs w:val="24"/>
        </w:rPr>
        <w:t>FOR STATE SPECIFIC UNDERWRITING REQUIREMENTS, PLEASE SEE BELOW:</w:t>
      </w:r>
    </w:p>
    <w:p w14:paraId="3DCBC636" w14:textId="77777777" w:rsidR="008F6A1E" w:rsidRPr="008F6A1E" w:rsidRDefault="008F6A1E" w:rsidP="008F6A1E">
      <w:pPr>
        <w:jc w:val="both"/>
        <w:rPr>
          <w:b/>
          <w:bCs/>
          <w:sz w:val="24"/>
          <w:szCs w:val="24"/>
        </w:rPr>
      </w:pPr>
    </w:p>
    <w:p w14:paraId="4D7FC887" w14:textId="77777777" w:rsidR="008F6A1E" w:rsidRPr="008F6A1E" w:rsidRDefault="008F6A1E" w:rsidP="008F6A1E">
      <w:pPr>
        <w:jc w:val="both"/>
        <w:rPr>
          <w:b/>
          <w:bCs/>
          <w:sz w:val="24"/>
          <w:szCs w:val="24"/>
          <w:u w:val="single"/>
        </w:rPr>
      </w:pPr>
      <w:r w:rsidRPr="008F6A1E">
        <w:rPr>
          <w:b/>
          <w:bCs/>
          <w:sz w:val="24"/>
          <w:szCs w:val="24"/>
          <w:u w:val="single"/>
        </w:rPr>
        <w:t>ALABAMA:</w:t>
      </w:r>
    </w:p>
    <w:p w14:paraId="3A3CC4C0" w14:textId="77777777" w:rsidR="008F6A1E" w:rsidRPr="008F6A1E" w:rsidRDefault="008F6A1E" w:rsidP="008F6A1E">
      <w:pPr>
        <w:jc w:val="both"/>
        <w:rPr>
          <w:sz w:val="24"/>
          <w:szCs w:val="24"/>
        </w:rPr>
      </w:pPr>
    </w:p>
    <w:p w14:paraId="4854CE32" w14:textId="77777777" w:rsidR="008F6A1E" w:rsidRPr="008F6A1E" w:rsidRDefault="008F6A1E" w:rsidP="008F6A1E">
      <w:pPr>
        <w:jc w:val="both"/>
        <w:rPr>
          <w:sz w:val="24"/>
          <w:szCs w:val="24"/>
        </w:rPr>
      </w:pPr>
      <w:r w:rsidRPr="008F6A1E">
        <w:rPr>
          <w:sz w:val="24"/>
          <w:szCs w:val="24"/>
        </w:rPr>
        <w:t xml:space="preserve">Because of the risks associated with this endorsement, an additional premium is required each time one is issued. The additional premium is equal to $.25 per thousand dollars of insurance coverage </w:t>
      </w:r>
      <w:r w:rsidRPr="008F6A1E">
        <w:rPr>
          <w:sz w:val="24"/>
          <w:szCs w:val="24"/>
        </w:rPr>
        <w:lastRenderedPageBreak/>
        <w:t>subject to a $125.00 minimum charge. This premium is split with the agent in the same manner as the base premium.  This Zoning Endorsement may be issued for commercial transactions only.  It may NOT be issued for residential transactions.</w:t>
      </w:r>
    </w:p>
    <w:p w14:paraId="787722D6" w14:textId="77777777" w:rsidR="008F6A1E" w:rsidRPr="008F6A1E" w:rsidRDefault="008F6A1E" w:rsidP="008F6A1E">
      <w:pPr>
        <w:jc w:val="both"/>
        <w:rPr>
          <w:sz w:val="24"/>
          <w:szCs w:val="24"/>
        </w:rPr>
      </w:pPr>
    </w:p>
    <w:p w14:paraId="0D80614F" w14:textId="77777777" w:rsidR="008F6A1E" w:rsidRPr="008F6A1E" w:rsidRDefault="008F6A1E" w:rsidP="008F6A1E">
      <w:pPr>
        <w:jc w:val="both"/>
        <w:rPr>
          <w:b/>
          <w:bCs/>
          <w:sz w:val="24"/>
          <w:szCs w:val="24"/>
          <w:u w:val="single"/>
        </w:rPr>
      </w:pPr>
      <w:r w:rsidRPr="008F6A1E">
        <w:rPr>
          <w:b/>
          <w:bCs/>
          <w:sz w:val="24"/>
          <w:szCs w:val="24"/>
          <w:u w:val="single"/>
        </w:rPr>
        <w:t>CONNECTICUT:</w:t>
      </w:r>
    </w:p>
    <w:p w14:paraId="1121C707" w14:textId="77777777" w:rsidR="008F6A1E" w:rsidRPr="008F6A1E" w:rsidRDefault="008F6A1E" w:rsidP="008F6A1E">
      <w:pPr>
        <w:jc w:val="both"/>
        <w:rPr>
          <w:sz w:val="24"/>
          <w:szCs w:val="24"/>
        </w:rPr>
      </w:pPr>
    </w:p>
    <w:p w14:paraId="57DD1B47"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equal to $0.50 per thousand dollars of insurance coverage. There is no agent split on this endorsement. The entire additional premium shall be remitted to CATIC.</w:t>
      </w:r>
    </w:p>
    <w:p w14:paraId="586C546C" w14:textId="77777777" w:rsidR="008F6A1E" w:rsidRPr="008F6A1E" w:rsidRDefault="008F6A1E" w:rsidP="008F6A1E">
      <w:pPr>
        <w:jc w:val="both"/>
        <w:rPr>
          <w:sz w:val="24"/>
          <w:szCs w:val="24"/>
        </w:rPr>
      </w:pPr>
    </w:p>
    <w:p w14:paraId="4EEFA713" w14:textId="77777777" w:rsidR="008F6A1E" w:rsidRPr="008F6A1E" w:rsidRDefault="008F6A1E" w:rsidP="008F6A1E">
      <w:pPr>
        <w:jc w:val="both"/>
        <w:rPr>
          <w:b/>
          <w:bCs/>
          <w:sz w:val="24"/>
          <w:szCs w:val="24"/>
          <w:u w:val="single"/>
        </w:rPr>
      </w:pPr>
      <w:r w:rsidRPr="008F6A1E">
        <w:rPr>
          <w:b/>
          <w:bCs/>
          <w:sz w:val="24"/>
          <w:szCs w:val="24"/>
          <w:u w:val="single"/>
        </w:rPr>
        <w:t>FLORIDA:</w:t>
      </w:r>
    </w:p>
    <w:p w14:paraId="5AE956B2" w14:textId="77777777" w:rsidR="008F6A1E" w:rsidRPr="008F6A1E" w:rsidRDefault="008F6A1E" w:rsidP="008F6A1E">
      <w:pPr>
        <w:jc w:val="both"/>
        <w:rPr>
          <w:sz w:val="24"/>
          <w:szCs w:val="24"/>
        </w:rPr>
      </w:pPr>
    </w:p>
    <w:p w14:paraId="44AFDFDA" w14:textId="77777777" w:rsidR="008F6A1E" w:rsidRPr="008F6A1E" w:rsidRDefault="008F6A1E" w:rsidP="008F6A1E">
      <w:pPr>
        <w:jc w:val="both"/>
        <w:rPr>
          <w:sz w:val="24"/>
          <w:szCs w:val="24"/>
        </w:rPr>
      </w:pPr>
      <w:r w:rsidRPr="008F6A1E">
        <w:rPr>
          <w:sz w:val="24"/>
          <w:szCs w:val="24"/>
        </w:rPr>
        <w:t>This Zoning Endorsement is prohibited in the State of Florida.</w:t>
      </w:r>
    </w:p>
    <w:p w14:paraId="2A2B8B55" w14:textId="77777777" w:rsidR="008F6A1E" w:rsidRPr="008F6A1E" w:rsidRDefault="008F6A1E" w:rsidP="008F6A1E">
      <w:pPr>
        <w:jc w:val="both"/>
        <w:rPr>
          <w:sz w:val="24"/>
          <w:szCs w:val="24"/>
        </w:rPr>
      </w:pPr>
    </w:p>
    <w:p w14:paraId="638D0D40" w14:textId="77777777" w:rsidR="008F6A1E" w:rsidRPr="008F6A1E" w:rsidRDefault="008F6A1E" w:rsidP="008F6A1E">
      <w:pPr>
        <w:jc w:val="both"/>
        <w:rPr>
          <w:b/>
          <w:bCs/>
          <w:sz w:val="24"/>
          <w:szCs w:val="24"/>
          <w:u w:val="single"/>
        </w:rPr>
      </w:pPr>
      <w:r w:rsidRPr="008F6A1E">
        <w:rPr>
          <w:b/>
          <w:bCs/>
          <w:sz w:val="24"/>
          <w:szCs w:val="24"/>
          <w:u w:val="single"/>
        </w:rPr>
        <w:t>GEORGIA:</w:t>
      </w:r>
    </w:p>
    <w:p w14:paraId="35423421" w14:textId="77777777" w:rsidR="008F6A1E" w:rsidRPr="008F6A1E" w:rsidRDefault="008F6A1E" w:rsidP="008F6A1E">
      <w:pPr>
        <w:jc w:val="both"/>
        <w:rPr>
          <w:sz w:val="24"/>
          <w:szCs w:val="24"/>
        </w:rPr>
      </w:pPr>
    </w:p>
    <w:p w14:paraId="47D6B4B3"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negotiable.  Please contact a CATIC Underwriter for authorization to issue this Zoning Endorsement and for a premium quote to issue the same.  The premium is split with the agent in the same manner as the base premium.</w:t>
      </w:r>
    </w:p>
    <w:p w14:paraId="12DF0149" w14:textId="77777777" w:rsidR="008F6A1E" w:rsidRPr="008F6A1E" w:rsidRDefault="008F6A1E" w:rsidP="008F6A1E">
      <w:pPr>
        <w:jc w:val="both"/>
        <w:rPr>
          <w:sz w:val="24"/>
          <w:szCs w:val="24"/>
        </w:rPr>
      </w:pPr>
    </w:p>
    <w:p w14:paraId="10410139" w14:textId="77777777" w:rsidR="008F6A1E" w:rsidRPr="008F6A1E" w:rsidRDefault="008F6A1E" w:rsidP="008F6A1E">
      <w:pPr>
        <w:jc w:val="both"/>
        <w:rPr>
          <w:b/>
          <w:bCs/>
          <w:sz w:val="24"/>
          <w:szCs w:val="24"/>
          <w:u w:val="single"/>
        </w:rPr>
      </w:pPr>
      <w:r w:rsidRPr="008F6A1E">
        <w:rPr>
          <w:b/>
          <w:bCs/>
          <w:sz w:val="24"/>
          <w:szCs w:val="24"/>
          <w:u w:val="single"/>
        </w:rPr>
        <w:t>ILLINOIS:</w:t>
      </w:r>
    </w:p>
    <w:p w14:paraId="28D8A7EC" w14:textId="77777777" w:rsidR="008F6A1E" w:rsidRPr="008F6A1E" w:rsidRDefault="008F6A1E" w:rsidP="008F6A1E">
      <w:pPr>
        <w:jc w:val="both"/>
        <w:rPr>
          <w:sz w:val="24"/>
          <w:szCs w:val="24"/>
        </w:rPr>
      </w:pPr>
    </w:p>
    <w:p w14:paraId="1AAED5C3"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For insurance less than $5 million, the endorsement premium starts at $1,000.00 per endorsement and may be increased based on underwriter review of the specific risks associated with issuance of the endorsement. This premium is retained by the Company. The endorsement must be completed and approved by a CATIC underwriter.</w:t>
      </w:r>
    </w:p>
    <w:p w14:paraId="404B6930" w14:textId="77777777" w:rsidR="008F6A1E" w:rsidRPr="008F6A1E" w:rsidRDefault="008F6A1E" w:rsidP="008F6A1E">
      <w:pPr>
        <w:jc w:val="both"/>
        <w:rPr>
          <w:sz w:val="24"/>
          <w:szCs w:val="24"/>
        </w:rPr>
      </w:pPr>
    </w:p>
    <w:p w14:paraId="280F3DFD" w14:textId="77777777" w:rsidR="008F6A1E" w:rsidRPr="008F6A1E" w:rsidRDefault="008F6A1E" w:rsidP="008F6A1E">
      <w:pPr>
        <w:jc w:val="both"/>
        <w:rPr>
          <w:b/>
          <w:bCs/>
          <w:sz w:val="24"/>
          <w:szCs w:val="24"/>
          <w:u w:val="single"/>
        </w:rPr>
      </w:pPr>
      <w:r w:rsidRPr="008F6A1E">
        <w:rPr>
          <w:b/>
          <w:bCs/>
          <w:sz w:val="24"/>
          <w:szCs w:val="24"/>
          <w:u w:val="single"/>
        </w:rPr>
        <w:t>MAINE:</w:t>
      </w:r>
    </w:p>
    <w:p w14:paraId="6BC9EDCC" w14:textId="77777777" w:rsidR="008F6A1E" w:rsidRPr="008F6A1E" w:rsidRDefault="008F6A1E" w:rsidP="008F6A1E">
      <w:pPr>
        <w:jc w:val="both"/>
        <w:rPr>
          <w:sz w:val="24"/>
          <w:szCs w:val="24"/>
        </w:rPr>
      </w:pPr>
    </w:p>
    <w:p w14:paraId="3CB4919D"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negotiable.  Please contact a CATIC Underwriter for authorization to issue this Zoning Endorsement and for a premium quote to issue the same. This premium is split with the agent in the same manner as the base premium.</w:t>
      </w:r>
    </w:p>
    <w:p w14:paraId="7642FA17" w14:textId="77777777" w:rsidR="008F6A1E" w:rsidRPr="008F6A1E" w:rsidRDefault="008F6A1E" w:rsidP="008F6A1E">
      <w:pPr>
        <w:jc w:val="both"/>
        <w:rPr>
          <w:sz w:val="24"/>
          <w:szCs w:val="24"/>
        </w:rPr>
      </w:pPr>
    </w:p>
    <w:p w14:paraId="02813E31" w14:textId="77777777" w:rsidR="008F6A1E" w:rsidRPr="008F6A1E" w:rsidRDefault="008F6A1E" w:rsidP="008F6A1E">
      <w:pPr>
        <w:jc w:val="both"/>
        <w:rPr>
          <w:b/>
          <w:bCs/>
          <w:sz w:val="24"/>
          <w:szCs w:val="24"/>
          <w:u w:val="single"/>
        </w:rPr>
      </w:pPr>
      <w:bookmarkStart w:id="0" w:name="_Hlk118203063"/>
      <w:r w:rsidRPr="008F6A1E">
        <w:rPr>
          <w:b/>
          <w:bCs/>
          <w:sz w:val="24"/>
          <w:szCs w:val="24"/>
          <w:u w:val="single"/>
        </w:rPr>
        <w:t>MASSACHUSETTS:</w:t>
      </w:r>
    </w:p>
    <w:p w14:paraId="333B9EC4" w14:textId="77777777" w:rsidR="008F6A1E" w:rsidRPr="008F6A1E" w:rsidRDefault="008F6A1E" w:rsidP="008F6A1E">
      <w:pPr>
        <w:jc w:val="both"/>
        <w:rPr>
          <w:b/>
          <w:bCs/>
          <w:sz w:val="24"/>
          <w:szCs w:val="24"/>
          <w:u w:val="single"/>
        </w:rPr>
      </w:pPr>
    </w:p>
    <w:p w14:paraId="11468B31"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negotiable.  Please contact a CATIC Underwriter for authorization to issue this Zoning Endorsement and for a premium quote to issue the same.</w:t>
      </w:r>
    </w:p>
    <w:bookmarkEnd w:id="0"/>
    <w:p w14:paraId="5A5693F1" w14:textId="77777777" w:rsidR="008F6A1E" w:rsidRPr="008F6A1E" w:rsidRDefault="008F6A1E" w:rsidP="008F6A1E">
      <w:pPr>
        <w:jc w:val="both"/>
        <w:rPr>
          <w:sz w:val="24"/>
          <w:szCs w:val="24"/>
        </w:rPr>
      </w:pPr>
    </w:p>
    <w:p w14:paraId="5A38D704" w14:textId="77777777" w:rsidR="002C5FAD" w:rsidRDefault="002C5FAD">
      <w:pPr>
        <w:rPr>
          <w:b/>
          <w:bCs/>
          <w:sz w:val="24"/>
          <w:szCs w:val="24"/>
          <w:u w:val="single"/>
        </w:rPr>
      </w:pPr>
      <w:r>
        <w:rPr>
          <w:b/>
          <w:bCs/>
          <w:sz w:val="24"/>
          <w:szCs w:val="24"/>
          <w:u w:val="single"/>
        </w:rPr>
        <w:br w:type="page"/>
      </w:r>
    </w:p>
    <w:p w14:paraId="467666C8" w14:textId="0E4723E6" w:rsidR="008F6A1E" w:rsidRPr="008F6A1E" w:rsidRDefault="008F6A1E" w:rsidP="008F6A1E">
      <w:pPr>
        <w:jc w:val="both"/>
        <w:rPr>
          <w:b/>
          <w:bCs/>
          <w:sz w:val="24"/>
          <w:szCs w:val="24"/>
          <w:u w:val="single"/>
        </w:rPr>
      </w:pPr>
      <w:r w:rsidRPr="008F6A1E">
        <w:rPr>
          <w:b/>
          <w:bCs/>
          <w:sz w:val="24"/>
          <w:szCs w:val="24"/>
          <w:u w:val="single"/>
        </w:rPr>
        <w:lastRenderedPageBreak/>
        <w:t>NEW HAMPSHIRE:</w:t>
      </w:r>
    </w:p>
    <w:p w14:paraId="4751E584" w14:textId="77777777" w:rsidR="008F6A1E" w:rsidRPr="008F6A1E" w:rsidRDefault="008F6A1E" w:rsidP="008F6A1E">
      <w:pPr>
        <w:jc w:val="both"/>
        <w:rPr>
          <w:sz w:val="24"/>
          <w:szCs w:val="24"/>
        </w:rPr>
      </w:pPr>
    </w:p>
    <w:p w14:paraId="2BDED125" w14:textId="5E39DF25" w:rsidR="008F6A1E" w:rsidRPr="008F6A1E" w:rsidRDefault="008F6A1E" w:rsidP="008F6A1E">
      <w:pPr>
        <w:jc w:val="both"/>
        <w:rPr>
          <w:sz w:val="24"/>
          <w:szCs w:val="24"/>
        </w:rPr>
      </w:pPr>
      <w:r w:rsidRPr="008F6A1E">
        <w:rPr>
          <w:sz w:val="24"/>
          <w:szCs w:val="24"/>
        </w:rPr>
        <w:t xml:space="preserve">Because of the risks associated with this endorsement, an additional premium is required each time one is issued. The additional premium for the ALTA 3.2 is equal to $0.50 per thousand dollars of insurance coverage. This premium is split with the agent in the same manner as the base premium. </w:t>
      </w:r>
    </w:p>
    <w:p w14:paraId="1E0A4A44" w14:textId="77777777" w:rsidR="008F6A1E" w:rsidRPr="008F6A1E" w:rsidRDefault="008F6A1E" w:rsidP="008F6A1E">
      <w:pPr>
        <w:jc w:val="both"/>
        <w:rPr>
          <w:sz w:val="24"/>
          <w:szCs w:val="24"/>
        </w:rPr>
      </w:pPr>
    </w:p>
    <w:p w14:paraId="0BCFD3AB" w14:textId="77777777" w:rsidR="008F6A1E" w:rsidRPr="008F6A1E" w:rsidRDefault="008F6A1E" w:rsidP="008F6A1E">
      <w:pPr>
        <w:jc w:val="both"/>
        <w:rPr>
          <w:b/>
          <w:bCs/>
          <w:sz w:val="24"/>
          <w:szCs w:val="24"/>
          <w:u w:val="single"/>
        </w:rPr>
      </w:pPr>
      <w:r w:rsidRPr="008F6A1E">
        <w:rPr>
          <w:b/>
          <w:bCs/>
          <w:sz w:val="24"/>
          <w:szCs w:val="24"/>
          <w:u w:val="single"/>
        </w:rPr>
        <w:t>NORTH CAROLINA:</w:t>
      </w:r>
    </w:p>
    <w:p w14:paraId="3EF80D1B" w14:textId="77777777" w:rsidR="008F6A1E" w:rsidRPr="008F6A1E" w:rsidRDefault="008F6A1E" w:rsidP="008F6A1E">
      <w:pPr>
        <w:jc w:val="both"/>
        <w:rPr>
          <w:sz w:val="24"/>
          <w:szCs w:val="24"/>
        </w:rPr>
      </w:pPr>
    </w:p>
    <w:p w14:paraId="4D1B914F" w14:textId="77777777" w:rsidR="008F6A1E" w:rsidRPr="008F6A1E" w:rsidRDefault="008F6A1E" w:rsidP="008F6A1E">
      <w:pPr>
        <w:jc w:val="both"/>
        <w:rPr>
          <w:sz w:val="24"/>
          <w:szCs w:val="24"/>
        </w:rPr>
      </w:pPr>
      <w:r w:rsidRPr="008F6A1E">
        <w:rPr>
          <w:sz w:val="24"/>
          <w:szCs w:val="24"/>
        </w:rPr>
        <w:t>This Zoning Endorsement is not available in North Carolina.</w:t>
      </w:r>
    </w:p>
    <w:p w14:paraId="35A26EFF" w14:textId="77777777" w:rsidR="008F6A1E" w:rsidRPr="008F6A1E" w:rsidRDefault="008F6A1E" w:rsidP="008F6A1E">
      <w:pPr>
        <w:jc w:val="both"/>
        <w:rPr>
          <w:sz w:val="24"/>
          <w:szCs w:val="24"/>
        </w:rPr>
      </w:pPr>
    </w:p>
    <w:p w14:paraId="33890AAC" w14:textId="77777777" w:rsidR="008F6A1E" w:rsidRPr="008F6A1E" w:rsidRDefault="008F6A1E" w:rsidP="008F6A1E">
      <w:pPr>
        <w:jc w:val="both"/>
        <w:rPr>
          <w:b/>
          <w:bCs/>
          <w:sz w:val="24"/>
          <w:szCs w:val="24"/>
          <w:u w:val="single"/>
        </w:rPr>
      </w:pPr>
      <w:r w:rsidRPr="008F6A1E">
        <w:rPr>
          <w:b/>
          <w:bCs/>
          <w:sz w:val="24"/>
          <w:szCs w:val="24"/>
          <w:u w:val="single"/>
        </w:rPr>
        <w:t>RHODE ISLAND:</w:t>
      </w:r>
    </w:p>
    <w:p w14:paraId="2B6B40C0" w14:textId="77777777" w:rsidR="008F6A1E" w:rsidRPr="008F6A1E" w:rsidRDefault="008F6A1E" w:rsidP="008F6A1E">
      <w:pPr>
        <w:jc w:val="both"/>
        <w:rPr>
          <w:sz w:val="24"/>
          <w:szCs w:val="24"/>
        </w:rPr>
      </w:pPr>
    </w:p>
    <w:p w14:paraId="4C9FDE8A"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equal to $0.75 per thousand dollars of insurance coverage. There is no agent split on this endorsement. The entire additional premium shall be remitted to CATIC.</w:t>
      </w:r>
    </w:p>
    <w:p w14:paraId="2C293757" w14:textId="77777777" w:rsidR="008F6A1E" w:rsidRPr="008F6A1E" w:rsidRDefault="008F6A1E" w:rsidP="008F6A1E">
      <w:pPr>
        <w:jc w:val="both"/>
        <w:rPr>
          <w:sz w:val="24"/>
          <w:szCs w:val="24"/>
        </w:rPr>
      </w:pPr>
    </w:p>
    <w:p w14:paraId="443CCAF7" w14:textId="77777777" w:rsidR="008F6A1E" w:rsidRPr="008F6A1E" w:rsidRDefault="008F6A1E" w:rsidP="008F6A1E">
      <w:pPr>
        <w:jc w:val="both"/>
        <w:rPr>
          <w:b/>
          <w:bCs/>
          <w:sz w:val="24"/>
          <w:szCs w:val="24"/>
          <w:u w:val="single"/>
        </w:rPr>
      </w:pPr>
      <w:r w:rsidRPr="008F6A1E">
        <w:rPr>
          <w:b/>
          <w:bCs/>
          <w:sz w:val="24"/>
          <w:szCs w:val="24"/>
          <w:u w:val="single"/>
        </w:rPr>
        <w:t>SOUTH CAROLINA:</w:t>
      </w:r>
    </w:p>
    <w:p w14:paraId="6B432EB5" w14:textId="77777777" w:rsidR="008F6A1E" w:rsidRPr="008F6A1E" w:rsidRDefault="008F6A1E" w:rsidP="008F6A1E">
      <w:pPr>
        <w:jc w:val="both"/>
        <w:rPr>
          <w:sz w:val="24"/>
          <w:szCs w:val="24"/>
        </w:rPr>
      </w:pPr>
    </w:p>
    <w:p w14:paraId="0B63D2D0"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negotiable.  Please contact a CATIC Underwriter for authorization to issue this Zoning Endorsement and for a premium quote to issue the same.  The premium is split with the agent in the same manner as the base premium.</w:t>
      </w:r>
    </w:p>
    <w:p w14:paraId="0F9B2F30" w14:textId="77777777" w:rsidR="008F6A1E" w:rsidRPr="008F6A1E" w:rsidRDefault="008F6A1E" w:rsidP="008F6A1E">
      <w:pPr>
        <w:jc w:val="both"/>
        <w:rPr>
          <w:sz w:val="24"/>
          <w:szCs w:val="24"/>
        </w:rPr>
      </w:pPr>
    </w:p>
    <w:p w14:paraId="4F6DEBB3" w14:textId="77777777" w:rsidR="008F6A1E" w:rsidRPr="008F6A1E" w:rsidRDefault="008F6A1E" w:rsidP="008F6A1E">
      <w:pPr>
        <w:jc w:val="both"/>
        <w:rPr>
          <w:b/>
          <w:bCs/>
          <w:sz w:val="24"/>
          <w:szCs w:val="24"/>
          <w:u w:val="single"/>
        </w:rPr>
      </w:pPr>
      <w:r w:rsidRPr="008F6A1E">
        <w:rPr>
          <w:b/>
          <w:bCs/>
          <w:sz w:val="24"/>
          <w:szCs w:val="24"/>
          <w:u w:val="single"/>
        </w:rPr>
        <w:t>TENNESSEE:</w:t>
      </w:r>
    </w:p>
    <w:p w14:paraId="46F812C2" w14:textId="77777777" w:rsidR="008F6A1E" w:rsidRPr="008F6A1E" w:rsidRDefault="008F6A1E" w:rsidP="008F6A1E">
      <w:pPr>
        <w:jc w:val="both"/>
        <w:rPr>
          <w:sz w:val="24"/>
          <w:szCs w:val="24"/>
        </w:rPr>
      </w:pPr>
    </w:p>
    <w:p w14:paraId="35F4896C" w14:textId="77777777" w:rsidR="008F6A1E" w:rsidRPr="008F6A1E" w:rsidRDefault="008F6A1E" w:rsidP="008F6A1E">
      <w:pPr>
        <w:jc w:val="both"/>
        <w:rPr>
          <w:sz w:val="24"/>
          <w:szCs w:val="24"/>
        </w:rPr>
      </w:pPr>
      <w:r w:rsidRPr="008F6A1E">
        <w:rPr>
          <w:sz w:val="24"/>
          <w:szCs w:val="24"/>
        </w:rPr>
        <w:t>Because of the risks associated with this endorsement, an additional premium is required each time one is issued. The additional premium is equal to 10% of the basic rate. This premium is split with the agent in the same manner as the base premium.  This Zoning Endorsement may be issued for commercial transactions only.  It may NOT be issued for residential transactions.</w:t>
      </w:r>
    </w:p>
    <w:p w14:paraId="0148D220" w14:textId="77777777" w:rsidR="008F6A1E" w:rsidRPr="008F6A1E" w:rsidRDefault="008F6A1E" w:rsidP="008F6A1E">
      <w:pPr>
        <w:jc w:val="both"/>
        <w:rPr>
          <w:sz w:val="24"/>
          <w:szCs w:val="24"/>
        </w:rPr>
      </w:pPr>
      <w:bookmarkStart w:id="1" w:name="_Hlk118204920"/>
    </w:p>
    <w:p w14:paraId="61B1B997" w14:textId="77777777" w:rsidR="008F6A1E" w:rsidRPr="008F6A1E" w:rsidRDefault="008F6A1E" w:rsidP="008F6A1E">
      <w:pPr>
        <w:jc w:val="both"/>
        <w:rPr>
          <w:b/>
          <w:bCs/>
          <w:sz w:val="24"/>
          <w:szCs w:val="24"/>
          <w:u w:val="single"/>
        </w:rPr>
      </w:pPr>
      <w:r w:rsidRPr="008F6A1E">
        <w:rPr>
          <w:b/>
          <w:bCs/>
          <w:sz w:val="24"/>
          <w:szCs w:val="24"/>
          <w:u w:val="single"/>
        </w:rPr>
        <w:t>VERMONT:</w:t>
      </w:r>
    </w:p>
    <w:p w14:paraId="7A29B6E3" w14:textId="77777777" w:rsidR="008F6A1E" w:rsidRPr="008F6A1E" w:rsidRDefault="008F6A1E" w:rsidP="008F6A1E">
      <w:pPr>
        <w:jc w:val="both"/>
        <w:rPr>
          <w:sz w:val="24"/>
          <w:szCs w:val="24"/>
        </w:rPr>
      </w:pPr>
    </w:p>
    <w:p w14:paraId="2D5A1063" w14:textId="77777777" w:rsidR="008F6A1E" w:rsidRPr="008F6A1E" w:rsidRDefault="008F6A1E" w:rsidP="008F6A1E">
      <w:pPr>
        <w:jc w:val="both"/>
        <w:rPr>
          <w:sz w:val="24"/>
          <w:szCs w:val="24"/>
        </w:rPr>
      </w:pPr>
      <w:r w:rsidRPr="008F6A1E">
        <w:rPr>
          <w:sz w:val="24"/>
          <w:szCs w:val="24"/>
        </w:rPr>
        <w:t>Issuance of any ALTA 3 series endorsement requires underwriting approval. For underwriting approval and applicable hazard premium, please contact the Vermont office.</w:t>
      </w:r>
    </w:p>
    <w:bookmarkEnd w:id="1"/>
    <w:p w14:paraId="73336B6C" w14:textId="77777777" w:rsidR="008F6A1E" w:rsidRPr="008F6A1E" w:rsidRDefault="008F6A1E" w:rsidP="008F6A1E">
      <w:pPr>
        <w:jc w:val="both"/>
        <w:rPr>
          <w:sz w:val="24"/>
          <w:szCs w:val="24"/>
        </w:rPr>
      </w:pPr>
    </w:p>
    <w:p w14:paraId="16ACF6B0" w14:textId="77777777" w:rsidR="008F6A1E" w:rsidRPr="008F6A1E" w:rsidRDefault="008F6A1E" w:rsidP="008F6A1E">
      <w:pPr>
        <w:jc w:val="both"/>
        <w:rPr>
          <w:sz w:val="24"/>
          <w:szCs w:val="24"/>
        </w:rPr>
      </w:pPr>
    </w:p>
    <w:p w14:paraId="04807982" w14:textId="77777777" w:rsidR="008F6A1E" w:rsidRPr="008F6A1E" w:rsidRDefault="008F6A1E" w:rsidP="008F6A1E">
      <w:pPr>
        <w:jc w:val="both"/>
        <w:rPr>
          <w:b/>
          <w:bCs/>
          <w:i/>
          <w:iCs/>
          <w:sz w:val="24"/>
          <w:szCs w:val="24"/>
        </w:rPr>
      </w:pPr>
      <w:r w:rsidRPr="008F6A1E">
        <w:rPr>
          <w:b/>
          <w:bCs/>
          <w:i/>
          <w:iCs/>
          <w:sz w:val="24"/>
          <w:szCs w:val="24"/>
        </w:rPr>
        <w:t>Please contact a member of CATIC's underwriting staff if there are questions about the issuance of this endorsement.</w:t>
      </w:r>
    </w:p>
    <w:p w14:paraId="51F408B3" w14:textId="77777777" w:rsidR="008F6A1E" w:rsidRDefault="008F6A1E" w:rsidP="009035CE">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8F6A1E" w:rsidSect="008F6A1E">
          <w:pgSz w:w="12240" w:h="15840"/>
          <w:pgMar w:top="1440" w:right="1440" w:bottom="1440" w:left="1440" w:header="720" w:footer="288" w:gutter="0"/>
          <w:paperSrc w:first="15" w:other="15"/>
          <w:cols w:space="720"/>
          <w:docGrid w:linePitch="272"/>
        </w:sectPr>
      </w:pPr>
    </w:p>
    <w:p w14:paraId="2010F3D9" w14:textId="0C0804F1" w:rsidR="005B73E4" w:rsidRPr="003E53E3" w:rsidRDefault="00672DEE" w:rsidP="009035CE">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3E53E3">
        <w:rPr>
          <w:rFonts w:ascii="Times New Roman" w:hAnsi="Times New Roman"/>
          <w:bCs/>
          <w:sz w:val="22"/>
          <w:szCs w:val="22"/>
        </w:rPr>
        <w:lastRenderedPageBreak/>
        <w:t xml:space="preserve">ALTA 3.2 ZONING—LAND UNDER DEVELOPMENT </w:t>
      </w:r>
      <w:r w:rsidR="005B73E4" w:rsidRPr="003E53E3">
        <w:rPr>
          <w:rFonts w:ascii="Times New Roman" w:hAnsi="Times New Roman"/>
          <w:bCs/>
          <w:sz w:val="22"/>
          <w:szCs w:val="22"/>
        </w:rPr>
        <w:t>ENDORSEMENT</w:t>
      </w:r>
    </w:p>
    <w:p w14:paraId="34CFEF43" w14:textId="07092228" w:rsidR="00672DEE" w:rsidRPr="003E53E3" w:rsidRDefault="00672DEE" w:rsidP="00672DEE">
      <w:pPr>
        <w:pStyle w:val="Header1"/>
        <w:pBdr>
          <w:bottom w:val="none" w:sz="0" w:space="0" w:color="auto"/>
        </w:pBdr>
        <w:tabs>
          <w:tab w:val="clear" w:pos="4320"/>
          <w:tab w:val="clear" w:pos="9360"/>
        </w:tabs>
        <w:contextualSpacing/>
        <w:jc w:val="center"/>
        <w:rPr>
          <w:rFonts w:ascii="Times New Roman" w:hAnsi="Times New Roman"/>
          <w:bCs/>
        </w:rPr>
      </w:pPr>
    </w:p>
    <w:p w14:paraId="45679F9A" w14:textId="6784F4DE" w:rsidR="00DB381F" w:rsidRPr="003E53E3" w:rsidRDefault="00672DEE" w:rsidP="009035CE">
      <w:pPr>
        <w:pStyle w:val="Header1"/>
        <w:pBdr>
          <w:bottom w:val="none" w:sz="0" w:space="0" w:color="auto"/>
        </w:pBdr>
        <w:tabs>
          <w:tab w:val="clear" w:pos="4320"/>
          <w:tab w:val="clear" w:pos="9360"/>
        </w:tabs>
        <w:contextualSpacing/>
        <w:jc w:val="center"/>
        <w:rPr>
          <w:rFonts w:ascii="Times New Roman" w:hAnsi="Times New Roman"/>
          <w:bCs/>
        </w:rPr>
      </w:pPr>
      <w:r w:rsidRPr="003E53E3">
        <w:rPr>
          <w:rFonts w:ascii="Times New Roman" w:hAnsi="Times New Roman"/>
          <w:bCs/>
        </w:rPr>
        <w:t>This endorsement is issued as part of</w:t>
      </w:r>
      <w:r w:rsidR="003E53E3">
        <w:rPr>
          <w:rFonts w:ascii="Times New Roman" w:hAnsi="Times New Roman"/>
          <w:bCs/>
        </w:rPr>
        <w:t xml:space="preserve"> </w:t>
      </w:r>
      <w:r w:rsidR="00DB381F" w:rsidRPr="003E53E3">
        <w:rPr>
          <w:rFonts w:ascii="Times New Roman" w:hAnsi="Times New Roman"/>
          <w:bCs/>
        </w:rPr>
        <w:t xml:space="preserve">Policy </w:t>
      </w:r>
      <w:r w:rsidRPr="003E53E3">
        <w:rPr>
          <w:rFonts w:ascii="Times New Roman" w:hAnsi="Times New Roman"/>
          <w:bCs/>
        </w:rPr>
        <w:t>Number</w:t>
      </w:r>
      <w:r w:rsidR="00DB381F" w:rsidRPr="003E53E3">
        <w:rPr>
          <w:rFonts w:ascii="Times New Roman" w:hAnsi="Times New Roman"/>
          <w:bCs/>
        </w:rPr>
        <w:t xml:space="preserve"> </w:t>
      </w:r>
      <w:r w:rsidR="008C772C">
        <w:rPr>
          <w:rFonts w:ascii="Times New Roman" w:hAnsi="Times New Roman"/>
          <w:kern w:val="19"/>
        </w:rPr>
        <w:fldChar w:fldCharType="begin">
          <w:ffData>
            <w:name w:val="Text1"/>
            <w:enabled/>
            <w:calcOnExit w:val="0"/>
            <w:textInput/>
          </w:ffData>
        </w:fldChar>
      </w:r>
      <w:bookmarkStart w:id="2" w:name="Text1"/>
      <w:r w:rsidR="008C772C">
        <w:rPr>
          <w:rFonts w:ascii="Times New Roman" w:hAnsi="Times New Roman"/>
          <w:kern w:val="19"/>
        </w:rPr>
        <w:instrText xml:space="preserve"> FORMTEXT </w:instrText>
      </w:r>
      <w:r w:rsidR="008C772C">
        <w:rPr>
          <w:rFonts w:ascii="Times New Roman" w:hAnsi="Times New Roman"/>
          <w:kern w:val="19"/>
        </w:rPr>
      </w:r>
      <w:r w:rsidR="008C772C">
        <w:rPr>
          <w:rFonts w:ascii="Times New Roman" w:hAnsi="Times New Roman"/>
          <w:kern w:val="19"/>
        </w:rPr>
        <w:fldChar w:fldCharType="separate"/>
      </w:r>
      <w:r w:rsidR="008C772C">
        <w:rPr>
          <w:rFonts w:ascii="Times New Roman" w:hAnsi="Times New Roman"/>
          <w:noProof/>
          <w:kern w:val="19"/>
        </w:rPr>
        <w:t> </w:t>
      </w:r>
      <w:r w:rsidR="008C772C">
        <w:rPr>
          <w:rFonts w:ascii="Times New Roman" w:hAnsi="Times New Roman"/>
          <w:noProof/>
          <w:kern w:val="19"/>
        </w:rPr>
        <w:t> </w:t>
      </w:r>
      <w:r w:rsidR="008C772C">
        <w:rPr>
          <w:rFonts w:ascii="Times New Roman" w:hAnsi="Times New Roman"/>
          <w:noProof/>
          <w:kern w:val="19"/>
        </w:rPr>
        <w:t> </w:t>
      </w:r>
      <w:r w:rsidR="008C772C">
        <w:rPr>
          <w:rFonts w:ascii="Times New Roman" w:hAnsi="Times New Roman"/>
          <w:noProof/>
          <w:kern w:val="19"/>
        </w:rPr>
        <w:t> </w:t>
      </w:r>
      <w:r w:rsidR="008C772C">
        <w:rPr>
          <w:rFonts w:ascii="Times New Roman" w:hAnsi="Times New Roman"/>
          <w:noProof/>
          <w:kern w:val="19"/>
        </w:rPr>
        <w:t> </w:t>
      </w:r>
      <w:r w:rsidR="008C772C">
        <w:rPr>
          <w:rFonts w:ascii="Times New Roman" w:hAnsi="Times New Roman"/>
          <w:kern w:val="19"/>
        </w:rPr>
        <w:fldChar w:fldCharType="end"/>
      </w:r>
      <w:bookmarkEnd w:id="2"/>
    </w:p>
    <w:p w14:paraId="3C407789" w14:textId="0899D3CE" w:rsidR="005B73E4" w:rsidRPr="00CF56E5" w:rsidRDefault="00672DEE" w:rsidP="00CF56E5">
      <w:pPr>
        <w:pStyle w:val="Header1"/>
        <w:pBdr>
          <w:bottom w:val="none" w:sz="0" w:space="0" w:color="auto"/>
        </w:pBdr>
        <w:tabs>
          <w:tab w:val="clear" w:pos="4320"/>
          <w:tab w:val="clear" w:pos="9360"/>
          <w:tab w:val="left" w:pos="2224"/>
          <w:tab w:val="center" w:pos="4680"/>
        </w:tabs>
        <w:contextualSpacing/>
        <w:jc w:val="center"/>
        <w:rPr>
          <w:rFonts w:ascii="Times New Roman" w:hAnsi="Times New Roman"/>
          <w:bCs/>
        </w:rPr>
      </w:pPr>
      <w:r w:rsidRPr="003E53E3">
        <w:rPr>
          <w:rFonts w:ascii="Times New Roman" w:hAnsi="Times New Roman"/>
          <w:bCs/>
        </w:rPr>
        <w:t>i</w:t>
      </w:r>
      <w:r w:rsidR="005B73E4" w:rsidRPr="003E53E3">
        <w:rPr>
          <w:rFonts w:ascii="Times New Roman" w:hAnsi="Times New Roman"/>
          <w:bCs/>
        </w:rPr>
        <w:t>ssued by</w:t>
      </w:r>
      <w:r w:rsidR="00CF56E5">
        <w:rPr>
          <w:rFonts w:ascii="Times New Roman" w:hAnsi="Times New Roman"/>
          <w:bCs/>
        </w:rPr>
        <w:t xml:space="preserve"> </w:t>
      </w:r>
      <w:proofErr w:type="gramStart"/>
      <w:r w:rsidR="00CF56E5" w:rsidRPr="00CF56E5">
        <w:rPr>
          <w:rFonts w:ascii="Times New Roman" w:hAnsi="Times New Roman"/>
          <w:bCs/>
        </w:rPr>
        <w:t>CATIC</w:t>
      </w:r>
      <w:proofErr w:type="gramEnd"/>
    </w:p>
    <w:p w14:paraId="10369F4F" w14:textId="77777777" w:rsidR="009977B3" w:rsidRPr="003E53E3" w:rsidRDefault="009977B3" w:rsidP="009035CE">
      <w:pPr>
        <w:ind w:left="180" w:hanging="180"/>
        <w:contextualSpacing/>
        <w:jc w:val="both"/>
        <w:rPr>
          <w:bCs/>
        </w:rPr>
      </w:pPr>
    </w:p>
    <w:p w14:paraId="1A8A59B1" w14:textId="77777777" w:rsidR="00A534DF" w:rsidRPr="00CF56E5" w:rsidRDefault="00A534DF" w:rsidP="003E53E3">
      <w:pPr>
        <w:numPr>
          <w:ilvl w:val="0"/>
          <w:numId w:val="5"/>
        </w:numPr>
        <w:ind w:left="360"/>
        <w:contextualSpacing/>
        <w:jc w:val="both"/>
        <w:rPr>
          <w:bCs/>
          <w:sz w:val="21"/>
          <w:szCs w:val="21"/>
        </w:rPr>
      </w:pPr>
      <w:r w:rsidRPr="00CF56E5">
        <w:rPr>
          <w:bCs/>
          <w:sz w:val="21"/>
          <w:szCs w:val="21"/>
        </w:rPr>
        <w:t>For purposes of this endorsement:</w:t>
      </w:r>
    </w:p>
    <w:p w14:paraId="2CE771F3" w14:textId="353830EB" w:rsidR="006E397A" w:rsidRPr="00CF56E5" w:rsidRDefault="00DE17FB" w:rsidP="003E53E3">
      <w:pPr>
        <w:ind w:left="720" w:hanging="360"/>
        <w:contextualSpacing/>
        <w:jc w:val="both"/>
        <w:rPr>
          <w:bCs/>
          <w:sz w:val="21"/>
          <w:szCs w:val="21"/>
        </w:rPr>
      </w:pPr>
      <w:r w:rsidRPr="00CF56E5">
        <w:rPr>
          <w:bCs/>
          <w:sz w:val="21"/>
          <w:szCs w:val="21"/>
        </w:rPr>
        <w:t>a.</w:t>
      </w:r>
      <w:r w:rsidRPr="00CF56E5">
        <w:rPr>
          <w:bCs/>
          <w:sz w:val="21"/>
          <w:szCs w:val="21"/>
        </w:rPr>
        <w:tab/>
      </w:r>
      <w:r w:rsidR="00A534DF" w:rsidRPr="00CF56E5">
        <w:rPr>
          <w:bCs/>
          <w:sz w:val="21"/>
          <w:szCs w:val="21"/>
        </w:rPr>
        <w:t>“Improvement”</w:t>
      </w:r>
      <w:r w:rsidR="0098092D" w:rsidRPr="00CF56E5">
        <w:rPr>
          <w:bCs/>
          <w:sz w:val="21"/>
          <w:szCs w:val="21"/>
        </w:rPr>
        <w:t>:</w:t>
      </w:r>
      <w:r w:rsidR="00A534DF" w:rsidRPr="00CF56E5">
        <w:rPr>
          <w:bCs/>
          <w:sz w:val="21"/>
          <w:szCs w:val="21"/>
        </w:rPr>
        <w:t xml:space="preserve"> </w:t>
      </w:r>
      <w:r w:rsidR="0098092D" w:rsidRPr="00CF56E5">
        <w:rPr>
          <w:bCs/>
          <w:sz w:val="21"/>
          <w:szCs w:val="21"/>
        </w:rPr>
        <w:t>A</w:t>
      </w:r>
      <w:r w:rsidR="00654B43" w:rsidRPr="00CF56E5">
        <w:rPr>
          <w:bCs/>
          <w:sz w:val="21"/>
          <w:szCs w:val="21"/>
        </w:rPr>
        <w:t xml:space="preserve"> </w:t>
      </w:r>
      <w:r w:rsidR="00A534DF" w:rsidRPr="00CF56E5">
        <w:rPr>
          <w:bCs/>
          <w:sz w:val="21"/>
          <w:szCs w:val="21"/>
        </w:rPr>
        <w:t>building, structure, road, walkway, driveway, curb, subsurface utilit</w:t>
      </w:r>
      <w:r w:rsidR="00654B43" w:rsidRPr="00CF56E5">
        <w:rPr>
          <w:bCs/>
          <w:sz w:val="21"/>
          <w:szCs w:val="21"/>
        </w:rPr>
        <w:t>y</w:t>
      </w:r>
      <w:r w:rsidR="0098092D" w:rsidRPr="00CF56E5">
        <w:rPr>
          <w:bCs/>
          <w:sz w:val="21"/>
          <w:szCs w:val="21"/>
        </w:rPr>
        <w:t>,</w:t>
      </w:r>
      <w:r w:rsidR="00A534DF" w:rsidRPr="00CF56E5">
        <w:rPr>
          <w:bCs/>
          <w:sz w:val="21"/>
          <w:szCs w:val="21"/>
        </w:rPr>
        <w:t xml:space="preserve"> </w:t>
      </w:r>
      <w:r w:rsidR="00654B43" w:rsidRPr="00CF56E5">
        <w:rPr>
          <w:bCs/>
          <w:sz w:val="21"/>
          <w:szCs w:val="21"/>
        </w:rPr>
        <w:t xml:space="preserve">or </w:t>
      </w:r>
      <w:r w:rsidR="00A534DF" w:rsidRPr="00CF56E5">
        <w:rPr>
          <w:bCs/>
          <w:sz w:val="21"/>
          <w:szCs w:val="21"/>
        </w:rPr>
        <w:t xml:space="preserve">water well existing at </w:t>
      </w:r>
      <w:r w:rsidR="0098092D" w:rsidRPr="00CF56E5">
        <w:rPr>
          <w:bCs/>
          <w:sz w:val="21"/>
          <w:szCs w:val="21"/>
        </w:rPr>
        <w:t xml:space="preserve">the </w:t>
      </w:r>
      <w:r w:rsidR="00A534DF" w:rsidRPr="00CF56E5">
        <w:rPr>
          <w:bCs/>
          <w:sz w:val="21"/>
          <w:szCs w:val="21"/>
        </w:rPr>
        <w:t xml:space="preserve">Date of Policy or to be built or constructed according to the Plans that </w:t>
      </w:r>
      <w:r w:rsidR="0070378E" w:rsidRPr="00CF56E5">
        <w:rPr>
          <w:bCs/>
          <w:sz w:val="21"/>
          <w:szCs w:val="21"/>
        </w:rPr>
        <w:t>is</w:t>
      </w:r>
      <w:r w:rsidR="00A534DF" w:rsidRPr="00CF56E5">
        <w:rPr>
          <w:bCs/>
          <w:sz w:val="21"/>
          <w:szCs w:val="21"/>
        </w:rPr>
        <w:t xml:space="preserve"> or will be located on the Land, but excluding crops, </w:t>
      </w:r>
      <w:r w:rsidR="00C6755B" w:rsidRPr="00CF56E5">
        <w:rPr>
          <w:bCs/>
          <w:sz w:val="21"/>
          <w:szCs w:val="21"/>
        </w:rPr>
        <w:t xml:space="preserve">landscaping, </w:t>
      </w:r>
      <w:r w:rsidR="00A534DF" w:rsidRPr="00CF56E5">
        <w:rPr>
          <w:bCs/>
          <w:sz w:val="21"/>
          <w:szCs w:val="21"/>
        </w:rPr>
        <w:t>lawns, shrubbery, or trees.</w:t>
      </w:r>
    </w:p>
    <w:p w14:paraId="460B3757" w14:textId="33016ABD" w:rsidR="00A534DF" w:rsidRPr="00CF56E5" w:rsidRDefault="00DE17FB" w:rsidP="003E53E3">
      <w:pPr>
        <w:ind w:left="720" w:hanging="360"/>
        <w:contextualSpacing/>
        <w:jc w:val="both"/>
        <w:rPr>
          <w:bCs/>
          <w:sz w:val="21"/>
          <w:szCs w:val="21"/>
        </w:rPr>
      </w:pPr>
      <w:r w:rsidRPr="00CF56E5">
        <w:rPr>
          <w:bCs/>
          <w:sz w:val="21"/>
          <w:szCs w:val="21"/>
        </w:rPr>
        <w:t>b.</w:t>
      </w:r>
      <w:r w:rsidRPr="00CF56E5">
        <w:rPr>
          <w:bCs/>
          <w:sz w:val="21"/>
          <w:szCs w:val="21"/>
        </w:rPr>
        <w:tab/>
      </w:r>
      <w:r w:rsidR="00A534DF" w:rsidRPr="00CF56E5">
        <w:rPr>
          <w:bCs/>
          <w:sz w:val="21"/>
          <w:szCs w:val="21"/>
        </w:rPr>
        <w:t>“Plans”</w:t>
      </w:r>
      <w:r w:rsidR="0098092D" w:rsidRPr="00CF56E5">
        <w:rPr>
          <w:bCs/>
          <w:sz w:val="21"/>
          <w:szCs w:val="21"/>
        </w:rPr>
        <w:t>:</w:t>
      </w:r>
      <w:r w:rsidR="00A534DF" w:rsidRPr="00CF56E5">
        <w:rPr>
          <w:bCs/>
          <w:sz w:val="21"/>
          <w:szCs w:val="21"/>
        </w:rPr>
        <w:t xml:space="preserve"> </w:t>
      </w:r>
      <w:r w:rsidR="0098092D" w:rsidRPr="00CF56E5">
        <w:rPr>
          <w:bCs/>
          <w:sz w:val="21"/>
          <w:szCs w:val="21"/>
        </w:rPr>
        <w:t>T</w:t>
      </w:r>
      <w:r w:rsidR="00A534DF" w:rsidRPr="00CF56E5">
        <w:rPr>
          <w:bCs/>
          <w:sz w:val="21"/>
          <w:szCs w:val="21"/>
        </w:rPr>
        <w:t>hose site and elevation plans made by [</w:t>
      </w:r>
      <w:r w:rsidR="00A534DF" w:rsidRPr="00CF56E5">
        <w:rPr>
          <w:bCs/>
          <w:i/>
          <w:sz w:val="21"/>
          <w:szCs w:val="21"/>
        </w:rPr>
        <w:t>name of architect or engineer</w:t>
      </w:r>
      <w:r w:rsidR="00A534DF" w:rsidRPr="00CF56E5">
        <w:rPr>
          <w:bCs/>
          <w:sz w:val="21"/>
          <w:szCs w:val="21"/>
        </w:rPr>
        <w:t>] da</w:t>
      </w:r>
      <w:r w:rsidR="007C6D87" w:rsidRPr="00CF56E5">
        <w:rPr>
          <w:bCs/>
          <w:sz w:val="21"/>
          <w:szCs w:val="21"/>
        </w:rPr>
        <w:t xml:space="preserve">ted </w:t>
      </w:r>
      <w:r w:rsidR="008C772C">
        <w:rPr>
          <w:kern w:val="19"/>
        </w:rPr>
        <w:fldChar w:fldCharType="begin">
          <w:ffData>
            <w:name w:val="Text1"/>
            <w:enabled/>
            <w:calcOnExit w:val="0"/>
            <w:textInput/>
          </w:ffData>
        </w:fldChar>
      </w:r>
      <w:r w:rsidR="008C772C">
        <w:rPr>
          <w:kern w:val="19"/>
        </w:rPr>
        <w:instrText xml:space="preserve"> FORMTEXT </w:instrText>
      </w:r>
      <w:r w:rsidR="008C772C">
        <w:rPr>
          <w:kern w:val="19"/>
        </w:rPr>
      </w:r>
      <w:r w:rsidR="008C772C">
        <w:rPr>
          <w:kern w:val="19"/>
        </w:rPr>
        <w:fldChar w:fldCharType="separate"/>
      </w:r>
      <w:r w:rsidR="008C772C">
        <w:rPr>
          <w:noProof/>
          <w:kern w:val="19"/>
        </w:rPr>
        <w:t> </w:t>
      </w:r>
      <w:r w:rsidR="008C772C">
        <w:rPr>
          <w:noProof/>
          <w:kern w:val="19"/>
        </w:rPr>
        <w:t> </w:t>
      </w:r>
      <w:r w:rsidR="008C772C">
        <w:rPr>
          <w:noProof/>
          <w:kern w:val="19"/>
        </w:rPr>
        <w:t> </w:t>
      </w:r>
      <w:r w:rsidR="008C772C">
        <w:rPr>
          <w:noProof/>
          <w:kern w:val="19"/>
        </w:rPr>
        <w:t> </w:t>
      </w:r>
      <w:r w:rsidR="008C772C">
        <w:rPr>
          <w:noProof/>
          <w:kern w:val="19"/>
        </w:rPr>
        <w:t> </w:t>
      </w:r>
      <w:r w:rsidR="008C772C">
        <w:rPr>
          <w:kern w:val="19"/>
        </w:rPr>
        <w:fldChar w:fldCharType="end"/>
      </w:r>
      <w:r w:rsidR="007C6D87" w:rsidRPr="00CF56E5">
        <w:rPr>
          <w:bCs/>
          <w:sz w:val="21"/>
          <w:szCs w:val="21"/>
        </w:rPr>
        <w:t xml:space="preserve">, last revised </w:t>
      </w:r>
      <w:r w:rsidR="008C772C">
        <w:rPr>
          <w:kern w:val="19"/>
        </w:rPr>
        <w:fldChar w:fldCharType="begin">
          <w:ffData>
            <w:name w:val="Text1"/>
            <w:enabled/>
            <w:calcOnExit w:val="0"/>
            <w:textInput/>
          </w:ffData>
        </w:fldChar>
      </w:r>
      <w:r w:rsidR="008C772C">
        <w:rPr>
          <w:kern w:val="19"/>
        </w:rPr>
        <w:instrText xml:space="preserve"> FORMTEXT </w:instrText>
      </w:r>
      <w:r w:rsidR="008C772C">
        <w:rPr>
          <w:kern w:val="19"/>
        </w:rPr>
      </w:r>
      <w:r w:rsidR="008C772C">
        <w:rPr>
          <w:kern w:val="19"/>
        </w:rPr>
        <w:fldChar w:fldCharType="separate"/>
      </w:r>
      <w:r w:rsidR="008C772C">
        <w:rPr>
          <w:noProof/>
          <w:kern w:val="19"/>
        </w:rPr>
        <w:t> </w:t>
      </w:r>
      <w:r w:rsidR="008C772C">
        <w:rPr>
          <w:noProof/>
          <w:kern w:val="19"/>
        </w:rPr>
        <w:t> </w:t>
      </w:r>
      <w:r w:rsidR="008C772C">
        <w:rPr>
          <w:noProof/>
          <w:kern w:val="19"/>
        </w:rPr>
        <w:t> </w:t>
      </w:r>
      <w:r w:rsidR="008C772C">
        <w:rPr>
          <w:noProof/>
          <w:kern w:val="19"/>
        </w:rPr>
        <w:t> </w:t>
      </w:r>
      <w:r w:rsidR="008C772C">
        <w:rPr>
          <w:noProof/>
          <w:kern w:val="19"/>
        </w:rPr>
        <w:t> </w:t>
      </w:r>
      <w:r w:rsidR="008C772C">
        <w:rPr>
          <w:kern w:val="19"/>
        </w:rPr>
        <w:fldChar w:fldCharType="end"/>
      </w:r>
      <w:r w:rsidR="00A534DF" w:rsidRPr="00CF56E5">
        <w:rPr>
          <w:bCs/>
          <w:sz w:val="21"/>
          <w:szCs w:val="21"/>
        </w:rPr>
        <w:t>, designated as [</w:t>
      </w:r>
      <w:r w:rsidR="00A534DF" w:rsidRPr="00CF56E5">
        <w:rPr>
          <w:bCs/>
          <w:i/>
          <w:sz w:val="21"/>
          <w:szCs w:val="21"/>
        </w:rPr>
        <w:t>name of project</w:t>
      </w:r>
      <w:r w:rsidR="00A534DF" w:rsidRPr="00CF56E5">
        <w:rPr>
          <w:bCs/>
          <w:sz w:val="21"/>
          <w:szCs w:val="21"/>
        </w:rPr>
        <w:t xml:space="preserve">] consisting of </w:t>
      </w:r>
      <w:r w:rsidR="008C772C">
        <w:rPr>
          <w:kern w:val="19"/>
        </w:rPr>
        <w:fldChar w:fldCharType="begin">
          <w:ffData>
            <w:name w:val="Text1"/>
            <w:enabled/>
            <w:calcOnExit w:val="0"/>
            <w:textInput/>
          </w:ffData>
        </w:fldChar>
      </w:r>
      <w:r w:rsidR="008C772C">
        <w:rPr>
          <w:kern w:val="19"/>
        </w:rPr>
        <w:instrText xml:space="preserve"> FORMTEXT </w:instrText>
      </w:r>
      <w:r w:rsidR="008C772C">
        <w:rPr>
          <w:kern w:val="19"/>
        </w:rPr>
      </w:r>
      <w:r w:rsidR="008C772C">
        <w:rPr>
          <w:kern w:val="19"/>
        </w:rPr>
        <w:fldChar w:fldCharType="separate"/>
      </w:r>
      <w:r w:rsidR="008C772C">
        <w:rPr>
          <w:noProof/>
          <w:kern w:val="19"/>
        </w:rPr>
        <w:t> </w:t>
      </w:r>
      <w:r w:rsidR="008C772C">
        <w:rPr>
          <w:noProof/>
          <w:kern w:val="19"/>
        </w:rPr>
        <w:t> </w:t>
      </w:r>
      <w:r w:rsidR="008C772C">
        <w:rPr>
          <w:noProof/>
          <w:kern w:val="19"/>
        </w:rPr>
        <w:t> </w:t>
      </w:r>
      <w:r w:rsidR="008C772C">
        <w:rPr>
          <w:noProof/>
          <w:kern w:val="19"/>
        </w:rPr>
        <w:t> </w:t>
      </w:r>
      <w:r w:rsidR="008C772C">
        <w:rPr>
          <w:noProof/>
          <w:kern w:val="19"/>
        </w:rPr>
        <w:t> </w:t>
      </w:r>
      <w:r w:rsidR="008C772C">
        <w:rPr>
          <w:kern w:val="19"/>
        </w:rPr>
        <w:fldChar w:fldCharType="end"/>
      </w:r>
      <w:r w:rsidR="00F84FF0">
        <w:rPr>
          <w:bCs/>
          <w:sz w:val="21"/>
          <w:szCs w:val="21"/>
        </w:rPr>
        <w:t xml:space="preserve"> </w:t>
      </w:r>
      <w:r w:rsidR="00A534DF" w:rsidRPr="00CF56E5">
        <w:rPr>
          <w:bCs/>
          <w:sz w:val="21"/>
          <w:szCs w:val="21"/>
        </w:rPr>
        <w:t>sheets.</w:t>
      </w:r>
    </w:p>
    <w:p w14:paraId="3756EA0F" w14:textId="5FA459DE" w:rsidR="00241E7F" w:rsidRPr="00CF56E5" w:rsidRDefault="00DE17FB" w:rsidP="003E53E3">
      <w:pPr>
        <w:ind w:left="720" w:hanging="360"/>
        <w:contextualSpacing/>
        <w:jc w:val="both"/>
        <w:rPr>
          <w:bCs/>
          <w:sz w:val="21"/>
          <w:szCs w:val="21"/>
        </w:rPr>
      </w:pPr>
      <w:r w:rsidRPr="00CF56E5">
        <w:rPr>
          <w:bCs/>
          <w:sz w:val="21"/>
          <w:szCs w:val="21"/>
        </w:rPr>
        <w:t>c.</w:t>
      </w:r>
      <w:r w:rsidRPr="00CF56E5">
        <w:rPr>
          <w:bCs/>
          <w:sz w:val="21"/>
          <w:szCs w:val="21"/>
        </w:rPr>
        <w:tab/>
      </w:r>
      <w:r w:rsidR="00241E7F" w:rsidRPr="00CF56E5">
        <w:rPr>
          <w:bCs/>
          <w:sz w:val="21"/>
          <w:szCs w:val="21"/>
        </w:rPr>
        <w:t>“Zoning Ordinance”</w:t>
      </w:r>
      <w:r w:rsidR="00705E87" w:rsidRPr="00CF56E5">
        <w:rPr>
          <w:bCs/>
          <w:sz w:val="21"/>
          <w:szCs w:val="21"/>
        </w:rPr>
        <w:t>:</w:t>
      </w:r>
      <w:r w:rsidR="00241E7F" w:rsidRPr="00CF56E5">
        <w:rPr>
          <w:bCs/>
          <w:sz w:val="21"/>
          <w:szCs w:val="21"/>
        </w:rPr>
        <w:t xml:space="preserve"> </w:t>
      </w:r>
      <w:r w:rsidR="00705E87" w:rsidRPr="00CF56E5">
        <w:rPr>
          <w:bCs/>
          <w:sz w:val="21"/>
          <w:szCs w:val="21"/>
        </w:rPr>
        <w:t>A</w:t>
      </w:r>
      <w:r w:rsidR="00241E7F" w:rsidRPr="00CF56E5">
        <w:rPr>
          <w:bCs/>
          <w:sz w:val="21"/>
          <w:szCs w:val="21"/>
        </w:rPr>
        <w:t xml:space="preserve"> zoning ordinance or zoning regulation</w:t>
      </w:r>
      <w:r w:rsidR="00B26C73" w:rsidRPr="00CF56E5">
        <w:rPr>
          <w:bCs/>
          <w:sz w:val="21"/>
          <w:szCs w:val="21"/>
        </w:rPr>
        <w:t xml:space="preserve"> of a political subdivision of the State that is</w:t>
      </w:r>
      <w:r w:rsidR="00241E7F" w:rsidRPr="00CF56E5">
        <w:rPr>
          <w:bCs/>
          <w:sz w:val="21"/>
          <w:szCs w:val="21"/>
        </w:rPr>
        <w:t xml:space="preserve"> in effect and applicable to the Land at the Date of Policy.</w:t>
      </w:r>
    </w:p>
    <w:p w14:paraId="1C5E190B" w14:textId="77777777" w:rsidR="006E397A" w:rsidRPr="00CF56E5" w:rsidRDefault="006E397A" w:rsidP="009035CE">
      <w:pPr>
        <w:ind w:left="540" w:hanging="540"/>
        <w:contextualSpacing/>
        <w:jc w:val="both"/>
        <w:rPr>
          <w:bCs/>
          <w:sz w:val="21"/>
          <w:szCs w:val="21"/>
        </w:rPr>
      </w:pPr>
    </w:p>
    <w:p w14:paraId="60F37B6F" w14:textId="3F18737D" w:rsidR="00D02681" w:rsidRPr="00CF56E5" w:rsidRDefault="00D02681" w:rsidP="003E53E3">
      <w:pPr>
        <w:numPr>
          <w:ilvl w:val="0"/>
          <w:numId w:val="5"/>
        </w:numPr>
        <w:ind w:left="360"/>
        <w:contextualSpacing/>
        <w:jc w:val="both"/>
        <w:rPr>
          <w:bCs/>
          <w:sz w:val="21"/>
          <w:szCs w:val="21"/>
        </w:rPr>
      </w:pPr>
      <w:r w:rsidRPr="00CF56E5">
        <w:rPr>
          <w:bCs/>
          <w:sz w:val="21"/>
          <w:szCs w:val="21"/>
        </w:rPr>
        <w:t xml:space="preserve">The Company insures against loss or damage sustained by the Insured in the event that, at </w:t>
      </w:r>
      <w:r w:rsidR="009B45D6" w:rsidRPr="00CF56E5">
        <w:rPr>
          <w:bCs/>
          <w:sz w:val="21"/>
          <w:szCs w:val="21"/>
        </w:rPr>
        <w:t xml:space="preserve">the </w:t>
      </w:r>
      <w:r w:rsidRPr="00CF56E5">
        <w:rPr>
          <w:bCs/>
          <w:sz w:val="21"/>
          <w:szCs w:val="21"/>
        </w:rPr>
        <w:t>Date of Policy</w:t>
      </w:r>
      <w:r w:rsidR="00705E87" w:rsidRPr="00CF56E5">
        <w:rPr>
          <w:bCs/>
          <w:sz w:val="21"/>
          <w:szCs w:val="21"/>
        </w:rPr>
        <w:t>:</w:t>
      </w:r>
    </w:p>
    <w:p w14:paraId="7C622DF6" w14:textId="54778A3D" w:rsidR="006E397A" w:rsidRPr="00CF56E5" w:rsidRDefault="00010341" w:rsidP="003E53E3">
      <w:pPr>
        <w:ind w:left="720" w:hanging="360"/>
        <w:contextualSpacing/>
        <w:jc w:val="both"/>
        <w:rPr>
          <w:bCs/>
          <w:sz w:val="21"/>
          <w:szCs w:val="21"/>
        </w:rPr>
      </w:pPr>
      <w:r w:rsidRPr="00CF56E5">
        <w:rPr>
          <w:bCs/>
          <w:sz w:val="21"/>
          <w:szCs w:val="21"/>
        </w:rPr>
        <w:t>a.</w:t>
      </w:r>
      <w:r w:rsidRPr="00CF56E5">
        <w:rPr>
          <w:bCs/>
          <w:sz w:val="21"/>
          <w:szCs w:val="21"/>
        </w:rPr>
        <w:tab/>
      </w:r>
      <w:r w:rsidR="00705E87" w:rsidRPr="00CF56E5">
        <w:rPr>
          <w:bCs/>
          <w:sz w:val="21"/>
          <w:szCs w:val="21"/>
        </w:rPr>
        <w:t>A</w:t>
      </w:r>
      <w:r w:rsidR="005B73E4" w:rsidRPr="00CF56E5">
        <w:rPr>
          <w:bCs/>
          <w:sz w:val="21"/>
          <w:szCs w:val="21"/>
        </w:rPr>
        <w:t xml:space="preserve">ccording to </w:t>
      </w:r>
      <w:r w:rsidR="00705E87" w:rsidRPr="00CF56E5">
        <w:rPr>
          <w:bCs/>
          <w:sz w:val="21"/>
          <w:szCs w:val="21"/>
        </w:rPr>
        <w:t>the Zoning Ordinance</w:t>
      </w:r>
      <w:r w:rsidR="005B73E4" w:rsidRPr="00CF56E5">
        <w:rPr>
          <w:bCs/>
          <w:sz w:val="21"/>
          <w:szCs w:val="21"/>
        </w:rPr>
        <w:t xml:space="preserve">, the Land is not classified Zone </w:t>
      </w:r>
      <w:r w:rsidR="008C772C">
        <w:rPr>
          <w:kern w:val="19"/>
        </w:rPr>
        <w:fldChar w:fldCharType="begin">
          <w:ffData>
            <w:name w:val="Text1"/>
            <w:enabled/>
            <w:calcOnExit w:val="0"/>
            <w:textInput/>
          </w:ffData>
        </w:fldChar>
      </w:r>
      <w:r w:rsidR="008C772C">
        <w:rPr>
          <w:kern w:val="19"/>
        </w:rPr>
        <w:instrText xml:space="preserve"> FORMTEXT </w:instrText>
      </w:r>
      <w:r w:rsidR="008C772C">
        <w:rPr>
          <w:kern w:val="19"/>
        </w:rPr>
      </w:r>
      <w:r w:rsidR="008C772C">
        <w:rPr>
          <w:kern w:val="19"/>
        </w:rPr>
        <w:fldChar w:fldCharType="separate"/>
      </w:r>
      <w:r w:rsidR="008C772C">
        <w:rPr>
          <w:noProof/>
          <w:kern w:val="19"/>
        </w:rPr>
        <w:t> </w:t>
      </w:r>
      <w:r w:rsidR="008C772C">
        <w:rPr>
          <w:noProof/>
          <w:kern w:val="19"/>
        </w:rPr>
        <w:t> </w:t>
      </w:r>
      <w:r w:rsidR="008C772C">
        <w:rPr>
          <w:noProof/>
          <w:kern w:val="19"/>
        </w:rPr>
        <w:t> </w:t>
      </w:r>
      <w:r w:rsidR="008C772C">
        <w:rPr>
          <w:noProof/>
          <w:kern w:val="19"/>
        </w:rPr>
        <w:t> </w:t>
      </w:r>
      <w:r w:rsidR="008C772C">
        <w:rPr>
          <w:noProof/>
          <w:kern w:val="19"/>
        </w:rPr>
        <w:t> </w:t>
      </w:r>
      <w:r w:rsidR="008C772C">
        <w:rPr>
          <w:kern w:val="19"/>
        </w:rPr>
        <w:fldChar w:fldCharType="end"/>
      </w:r>
      <w:r w:rsidR="005B73E4" w:rsidRPr="00CF56E5">
        <w:rPr>
          <w:bCs/>
          <w:sz w:val="21"/>
          <w:szCs w:val="21"/>
        </w:rPr>
        <w:t>;</w:t>
      </w:r>
    </w:p>
    <w:p w14:paraId="5D8A1F31" w14:textId="79F24DB7" w:rsidR="005B73E4" w:rsidRPr="00CF56E5" w:rsidRDefault="00010341" w:rsidP="003E53E3">
      <w:pPr>
        <w:ind w:left="720" w:hanging="360"/>
        <w:contextualSpacing/>
        <w:jc w:val="both"/>
        <w:rPr>
          <w:bCs/>
          <w:sz w:val="21"/>
          <w:szCs w:val="21"/>
        </w:rPr>
      </w:pPr>
      <w:r w:rsidRPr="00CF56E5">
        <w:rPr>
          <w:bCs/>
          <w:sz w:val="21"/>
          <w:szCs w:val="21"/>
        </w:rPr>
        <w:t>b.</w:t>
      </w:r>
      <w:r w:rsidR="00C77F08" w:rsidRPr="00CF56E5">
        <w:rPr>
          <w:bCs/>
          <w:sz w:val="21"/>
          <w:szCs w:val="21"/>
        </w:rPr>
        <w:tab/>
      </w:r>
      <w:r w:rsidR="00705E87" w:rsidRPr="00CF56E5">
        <w:rPr>
          <w:bCs/>
          <w:sz w:val="21"/>
          <w:szCs w:val="21"/>
        </w:rPr>
        <w:t>T</w:t>
      </w:r>
      <w:r w:rsidR="005B73E4" w:rsidRPr="00CF56E5">
        <w:rPr>
          <w:bCs/>
          <w:sz w:val="21"/>
          <w:szCs w:val="21"/>
        </w:rPr>
        <w:t xml:space="preserve">he following use or uses are not allowed under that classification: </w:t>
      </w:r>
      <w:r w:rsidR="008C772C">
        <w:rPr>
          <w:kern w:val="19"/>
        </w:rPr>
        <w:fldChar w:fldCharType="begin">
          <w:ffData>
            <w:name w:val="Text1"/>
            <w:enabled/>
            <w:calcOnExit w:val="0"/>
            <w:textInput/>
          </w:ffData>
        </w:fldChar>
      </w:r>
      <w:r w:rsidR="008C772C">
        <w:rPr>
          <w:kern w:val="19"/>
        </w:rPr>
        <w:instrText xml:space="preserve"> FORMTEXT </w:instrText>
      </w:r>
      <w:r w:rsidR="008C772C">
        <w:rPr>
          <w:kern w:val="19"/>
        </w:rPr>
      </w:r>
      <w:r w:rsidR="008C772C">
        <w:rPr>
          <w:kern w:val="19"/>
        </w:rPr>
        <w:fldChar w:fldCharType="separate"/>
      </w:r>
      <w:r w:rsidR="008C772C">
        <w:rPr>
          <w:noProof/>
          <w:kern w:val="19"/>
        </w:rPr>
        <w:t> </w:t>
      </w:r>
      <w:r w:rsidR="008C772C">
        <w:rPr>
          <w:noProof/>
          <w:kern w:val="19"/>
        </w:rPr>
        <w:t> </w:t>
      </w:r>
      <w:r w:rsidR="008C772C">
        <w:rPr>
          <w:noProof/>
          <w:kern w:val="19"/>
        </w:rPr>
        <w:t> </w:t>
      </w:r>
      <w:r w:rsidR="008C772C">
        <w:rPr>
          <w:noProof/>
          <w:kern w:val="19"/>
        </w:rPr>
        <w:t> </w:t>
      </w:r>
      <w:r w:rsidR="008C772C">
        <w:rPr>
          <w:noProof/>
          <w:kern w:val="19"/>
        </w:rPr>
        <w:t> </w:t>
      </w:r>
      <w:r w:rsidR="008C772C">
        <w:rPr>
          <w:kern w:val="19"/>
        </w:rPr>
        <w:fldChar w:fldCharType="end"/>
      </w:r>
      <w:r w:rsidR="00C777F9" w:rsidRPr="00CF56E5">
        <w:rPr>
          <w:bCs/>
          <w:sz w:val="21"/>
          <w:szCs w:val="21"/>
        </w:rPr>
        <w:t>;</w:t>
      </w:r>
    </w:p>
    <w:p w14:paraId="16DB7923" w14:textId="30DD78FA" w:rsidR="006E397A" w:rsidRPr="00CF56E5" w:rsidRDefault="00C77F08" w:rsidP="003E53E3">
      <w:pPr>
        <w:ind w:left="720" w:hanging="360"/>
        <w:contextualSpacing/>
        <w:jc w:val="both"/>
        <w:rPr>
          <w:bCs/>
          <w:sz w:val="21"/>
          <w:szCs w:val="21"/>
        </w:rPr>
      </w:pPr>
      <w:r w:rsidRPr="00CF56E5">
        <w:rPr>
          <w:bCs/>
          <w:sz w:val="21"/>
          <w:szCs w:val="21"/>
        </w:rPr>
        <w:t>c.</w:t>
      </w:r>
      <w:r w:rsidRPr="00CF56E5">
        <w:rPr>
          <w:bCs/>
          <w:sz w:val="21"/>
          <w:szCs w:val="21"/>
        </w:rPr>
        <w:tab/>
      </w:r>
      <w:r w:rsidR="005B73E4" w:rsidRPr="00CF56E5">
        <w:rPr>
          <w:bCs/>
          <w:sz w:val="21"/>
          <w:szCs w:val="21"/>
        </w:rPr>
        <w:t xml:space="preserve">There </w:t>
      </w:r>
      <w:r w:rsidR="00705E87" w:rsidRPr="00CF56E5">
        <w:rPr>
          <w:bCs/>
          <w:sz w:val="21"/>
          <w:szCs w:val="21"/>
        </w:rPr>
        <w:t>is</w:t>
      </w:r>
      <w:r w:rsidR="005B73E4" w:rsidRPr="00CF56E5">
        <w:rPr>
          <w:bCs/>
          <w:sz w:val="21"/>
          <w:szCs w:val="21"/>
        </w:rPr>
        <w:t xml:space="preserve"> no liability under </w:t>
      </w:r>
      <w:r w:rsidR="00705E87" w:rsidRPr="00CF56E5">
        <w:rPr>
          <w:bCs/>
          <w:sz w:val="21"/>
          <w:szCs w:val="21"/>
        </w:rPr>
        <w:t xml:space="preserve">Section </w:t>
      </w:r>
      <w:r w:rsidR="00A534DF" w:rsidRPr="00CF56E5">
        <w:rPr>
          <w:bCs/>
          <w:sz w:val="21"/>
          <w:szCs w:val="21"/>
        </w:rPr>
        <w:t>2</w:t>
      </w:r>
      <w:r w:rsidR="005B73E4" w:rsidRPr="00CF56E5">
        <w:rPr>
          <w:bCs/>
          <w:sz w:val="21"/>
          <w:szCs w:val="21"/>
        </w:rPr>
        <w:t xml:space="preserve">.b. if the use or uses are not allowed as the result of any lack of compliance with any condition, restriction, or requirement contained in the </w:t>
      </w:r>
      <w:r w:rsidR="00371F20" w:rsidRPr="00CF56E5">
        <w:rPr>
          <w:bCs/>
          <w:sz w:val="21"/>
          <w:szCs w:val="21"/>
        </w:rPr>
        <w:t>Zoning Ordinance</w:t>
      </w:r>
      <w:r w:rsidR="005B73E4" w:rsidRPr="00CF56E5">
        <w:rPr>
          <w:bCs/>
          <w:sz w:val="21"/>
          <w:szCs w:val="21"/>
        </w:rPr>
        <w:t>, including but not limited to the failure to secure necessary consents or authorizations as a p</w:t>
      </w:r>
      <w:r w:rsidR="006B10D3" w:rsidRPr="00CF56E5">
        <w:rPr>
          <w:bCs/>
          <w:sz w:val="21"/>
          <w:szCs w:val="21"/>
        </w:rPr>
        <w:t>re</w:t>
      </w:r>
      <w:r w:rsidR="005B73E4" w:rsidRPr="00CF56E5">
        <w:rPr>
          <w:bCs/>
          <w:sz w:val="21"/>
          <w:szCs w:val="21"/>
        </w:rPr>
        <w:t>r</w:t>
      </w:r>
      <w:r w:rsidR="006B10D3" w:rsidRPr="00CF56E5">
        <w:rPr>
          <w:bCs/>
          <w:sz w:val="21"/>
          <w:szCs w:val="21"/>
        </w:rPr>
        <w:t>e</w:t>
      </w:r>
      <w:r w:rsidR="005B73E4" w:rsidRPr="00CF56E5">
        <w:rPr>
          <w:bCs/>
          <w:sz w:val="21"/>
          <w:szCs w:val="21"/>
        </w:rPr>
        <w:t xml:space="preserve">quisite to the use or uses. </w:t>
      </w:r>
      <w:r w:rsidR="00371F20" w:rsidRPr="00CF56E5">
        <w:rPr>
          <w:bCs/>
          <w:sz w:val="21"/>
          <w:szCs w:val="21"/>
        </w:rPr>
        <w:t>Section</w:t>
      </w:r>
      <w:r w:rsidR="005B73E4" w:rsidRPr="00CF56E5">
        <w:rPr>
          <w:bCs/>
          <w:sz w:val="21"/>
          <w:szCs w:val="21"/>
        </w:rPr>
        <w:t xml:space="preserve"> </w:t>
      </w:r>
      <w:r w:rsidR="0070378E" w:rsidRPr="00CF56E5">
        <w:rPr>
          <w:bCs/>
          <w:sz w:val="21"/>
          <w:szCs w:val="21"/>
        </w:rPr>
        <w:t>2</w:t>
      </w:r>
      <w:r w:rsidR="005B73E4" w:rsidRPr="00CF56E5">
        <w:rPr>
          <w:bCs/>
          <w:sz w:val="21"/>
          <w:szCs w:val="21"/>
        </w:rPr>
        <w:t>.c. does not modify or limit the coverage provided in Covered Risk 5.</w:t>
      </w:r>
    </w:p>
    <w:p w14:paraId="7CC3017D" w14:textId="5590A5A9" w:rsidR="006E397A" w:rsidRPr="00CF56E5" w:rsidRDefault="006E6A4F" w:rsidP="006E6A4F">
      <w:pPr>
        <w:tabs>
          <w:tab w:val="left" w:pos="5430"/>
        </w:tabs>
        <w:ind w:left="540" w:hanging="540"/>
        <w:contextualSpacing/>
        <w:jc w:val="both"/>
        <w:rPr>
          <w:bCs/>
          <w:sz w:val="21"/>
          <w:szCs w:val="21"/>
        </w:rPr>
      </w:pPr>
      <w:r w:rsidRPr="00CF56E5">
        <w:rPr>
          <w:bCs/>
          <w:sz w:val="21"/>
          <w:szCs w:val="21"/>
        </w:rPr>
        <w:tab/>
      </w:r>
      <w:r w:rsidRPr="00CF56E5">
        <w:rPr>
          <w:bCs/>
          <w:sz w:val="21"/>
          <w:szCs w:val="21"/>
        </w:rPr>
        <w:tab/>
      </w:r>
    </w:p>
    <w:p w14:paraId="601D0714" w14:textId="30869811" w:rsidR="006E397A" w:rsidRPr="00CF56E5" w:rsidRDefault="00654B43" w:rsidP="003E53E3">
      <w:pPr>
        <w:numPr>
          <w:ilvl w:val="0"/>
          <w:numId w:val="5"/>
        </w:numPr>
        <w:ind w:left="360"/>
        <w:contextualSpacing/>
        <w:jc w:val="both"/>
        <w:rPr>
          <w:bCs/>
          <w:sz w:val="21"/>
          <w:szCs w:val="21"/>
        </w:rPr>
      </w:pPr>
      <w:r w:rsidRPr="00CF56E5">
        <w:rPr>
          <w:bCs/>
          <w:sz w:val="21"/>
          <w:szCs w:val="21"/>
        </w:rPr>
        <w:t xml:space="preserve">The Company further insures against loss or damage sustained by the Insured by reason of a final decree of a </w:t>
      </w:r>
      <w:r w:rsidR="00910720" w:rsidRPr="00CF56E5">
        <w:rPr>
          <w:bCs/>
          <w:sz w:val="21"/>
          <w:szCs w:val="21"/>
        </w:rPr>
        <w:t xml:space="preserve">State or federal </w:t>
      </w:r>
      <w:r w:rsidRPr="00CF56E5">
        <w:rPr>
          <w:bCs/>
          <w:sz w:val="21"/>
          <w:szCs w:val="21"/>
        </w:rPr>
        <w:t xml:space="preserve">court </w:t>
      </w:r>
      <w:r w:rsidR="005F18C4" w:rsidRPr="00CF56E5">
        <w:rPr>
          <w:bCs/>
          <w:sz w:val="21"/>
          <w:szCs w:val="21"/>
        </w:rPr>
        <w:t>having</w:t>
      </w:r>
      <w:r w:rsidRPr="00CF56E5">
        <w:rPr>
          <w:bCs/>
          <w:sz w:val="21"/>
          <w:szCs w:val="21"/>
        </w:rPr>
        <w:t xml:space="preserve"> jurisdiction either prohibitin</w:t>
      </w:r>
      <w:r w:rsidR="00CE31A6" w:rsidRPr="00CF56E5">
        <w:rPr>
          <w:bCs/>
          <w:sz w:val="21"/>
          <w:szCs w:val="21"/>
        </w:rPr>
        <w:t xml:space="preserve">g the use of the Land, with any </w:t>
      </w:r>
      <w:r w:rsidRPr="00CF56E5">
        <w:rPr>
          <w:bCs/>
          <w:sz w:val="21"/>
          <w:szCs w:val="21"/>
        </w:rPr>
        <w:t xml:space="preserve">Improvement, as specified in </w:t>
      </w:r>
      <w:r w:rsidR="00371F20" w:rsidRPr="00CF56E5">
        <w:rPr>
          <w:bCs/>
          <w:sz w:val="21"/>
          <w:szCs w:val="21"/>
        </w:rPr>
        <w:t xml:space="preserve">Section </w:t>
      </w:r>
      <w:r w:rsidR="0070378E" w:rsidRPr="00CF56E5">
        <w:rPr>
          <w:bCs/>
          <w:sz w:val="21"/>
          <w:szCs w:val="21"/>
        </w:rPr>
        <w:t>2</w:t>
      </w:r>
      <w:r w:rsidRPr="00CF56E5">
        <w:rPr>
          <w:bCs/>
          <w:sz w:val="21"/>
          <w:szCs w:val="21"/>
        </w:rPr>
        <w:t>.b. or requiring the removal or alteration of the Improvement because</w:t>
      </w:r>
      <w:r w:rsidR="00382414" w:rsidRPr="00CF56E5">
        <w:rPr>
          <w:bCs/>
          <w:sz w:val="21"/>
          <w:szCs w:val="21"/>
        </w:rPr>
        <w:t>, at the Date of Policy,</w:t>
      </w:r>
      <w:r w:rsidR="004B5173" w:rsidRPr="00CF56E5">
        <w:rPr>
          <w:bCs/>
          <w:sz w:val="21"/>
          <w:szCs w:val="21"/>
        </w:rPr>
        <w:t xml:space="preserve"> </w:t>
      </w:r>
      <w:r w:rsidRPr="00CF56E5">
        <w:rPr>
          <w:bCs/>
          <w:sz w:val="21"/>
          <w:szCs w:val="21"/>
        </w:rPr>
        <w:t xml:space="preserve">the </w:t>
      </w:r>
      <w:r w:rsidR="00ED14F4" w:rsidRPr="00CF56E5">
        <w:rPr>
          <w:bCs/>
          <w:sz w:val="21"/>
          <w:szCs w:val="21"/>
        </w:rPr>
        <w:t>Zoning Ordinance</w:t>
      </w:r>
      <w:r w:rsidRPr="00CF56E5">
        <w:rPr>
          <w:bCs/>
          <w:sz w:val="21"/>
          <w:szCs w:val="21"/>
        </w:rPr>
        <w:t xml:space="preserve"> </w:t>
      </w:r>
      <w:r w:rsidR="00584062" w:rsidRPr="00CF56E5">
        <w:rPr>
          <w:bCs/>
          <w:sz w:val="21"/>
          <w:szCs w:val="21"/>
        </w:rPr>
        <w:t>has been violated</w:t>
      </w:r>
      <w:r w:rsidR="004B5173" w:rsidRPr="00CF56E5">
        <w:rPr>
          <w:bCs/>
          <w:sz w:val="21"/>
          <w:szCs w:val="21"/>
        </w:rPr>
        <w:t xml:space="preserve"> </w:t>
      </w:r>
      <w:r w:rsidRPr="00CF56E5">
        <w:rPr>
          <w:bCs/>
          <w:sz w:val="21"/>
          <w:szCs w:val="21"/>
        </w:rPr>
        <w:t>with respect to any of the following matters:</w:t>
      </w:r>
    </w:p>
    <w:p w14:paraId="69A1DE99" w14:textId="368483A4" w:rsidR="006E397A" w:rsidRPr="00CF56E5" w:rsidRDefault="00DE17FB" w:rsidP="003E53E3">
      <w:pPr>
        <w:ind w:left="720" w:hanging="360"/>
        <w:contextualSpacing/>
        <w:jc w:val="both"/>
        <w:rPr>
          <w:bCs/>
          <w:sz w:val="21"/>
          <w:szCs w:val="21"/>
        </w:rPr>
      </w:pPr>
      <w:r w:rsidRPr="00CF56E5">
        <w:rPr>
          <w:bCs/>
          <w:sz w:val="21"/>
          <w:szCs w:val="21"/>
        </w:rPr>
        <w:t>a.</w:t>
      </w:r>
      <w:r w:rsidRPr="00CF56E5">
        <w:rPr>
          <w:bCs/>
          <w:sz w:val="21"/>
          <w:szCs w:val="21"/>
        </w:rPr>
        <w:tab/>
      </w:r>
      <w:r w:rsidR="00822580" w:rsidRPr="00CF56E5">
        <w:rPr>
          <w:bCs/>
          <w:sz w:val="21"/>
          <w:szCs w:val="21"/>
        </w:rPr>
        <w:t>The a</w:t>
      </w:r>
      <w:r w:rsidR="00654B43" w:rsidRPr="00CF56E5">
        <w:rPr>
          <w:bCs/>
          <w:sz w:val="21"/>
          <w:szCs w:val="21"/>
        </w:rPr>
        <w:t>rea, width, or depth of the Land as a building site for the Improvement</w:t>
      </w:r>
      <w:r w:rsidR="00822580" w:rsidRPr="00CF56E5">
        <w:rPr>
          <w:bCs/>
          <w:sz w:val="21"/>
          <w:szCs w:val="21"/>
        </w:rPr>
        <w:t>;</w:t>
      </w:r>
    </w:p>
    <w:p w14:paraId="01E5791D" w14:textId="14BAFEA7" w:rsidR="006E397A" w:rsidRPr="00CF56E5" w:rsidRDefault="00DE17FB" w:rsidP="003E53E3">
      <w:pPr>
        <w:ind w:left="720" w:hanging="360"/>
        <w:contextualSpacing/>
        <w:jc w:val="both"/>
        <w:rPr>
          <w:bCs/>
          <w:sz w:val="21"/>
          <w:szCs w:val="21"/>
        </w:rPr>
      </w:pPr>
      <w:r w:rsidRPr="00CF56E5">
        <w:rPr>
          <w:bCs/>
          <w:sz w:val="21"/>
          <w:szCs w:val="21"/>
        </w:rPr>
        <w:t>b.</w:t>
      </w:r>
      <w:r w:rsidRPr="00CF56E5">
        <w:rPr>
          <w:bCs/>
          <w:sz w:val="21"/>
          <w:szCs w:val="21"/>
        </w:rPr>
        <w:tab/>
      </w:r>
      <w:r w:rsidR="00822580" w:rsidRPr="00CF56E5">
        <w:rPr>
          <w:bCs/>
          <w:sz w:val="21"/>
          <w:szCs w:val="21"/>
        </w:rPr>
        <w:t>The f</w:t>
      </w:r>
      <w:r w:rsidR="00654B43" w:rsidRPr="00CF56E5">
        <w:rPr>
          <w:bCs/>
          <w:sz w:val="21"/>
          <w:szCs w:val="21"/>
        </w:rPr>
        <w:t>loor space area of the Improvement</w:t>
      </w:r>
      <w:r w:rsidR="00822580" w:rsidRPr="00CF56E5">
        <w:rPr>
          <w:bCs/>
          <w:sz w:val="21"/>
          <w:szCs w:val="21"/>
        </w:rPr>
        <w:t>;</w:t>
      </w:r>
    </w:p>
    <w:p w14:paraId="5B6405BB" w14:textId="64C7F880" w:rsidR="006E397A" w:rsidRPr="00CF56E5" w:rsidRDefault="00DE17FB" w:rsidP="003E53E3">
      <w:pPr>
        <w:ind w:left="720" w:hanging="360"/>
        <w:contextualSpacing/>
        <w:jc w:val="both"/>
        <w:rPr>
          <w:bCs/>
          <w:sz w:val="21"/>
          <w:szCs w:val="21"/>
        </w:rPr>
      </w:pPr>
      <w:r w:rsidRPr="00CF56E5">
        <w:rPr>
          <w:bCs/>
          <w:sz w:val="21"/>
          <w:szCs w:val="21"/>
        </w:rPr>
        <w:t>c.</w:t>
      </w:r>
      <w:r w:rsidRPr="00CF56E5">
        <w:rPr>
          <w:bCs/>
          <w:sz w:val="21"/>
          <w:szCs w:val="21"/>
        </w:rPr>
        <w:tab/>
      </w:r>
      <w:r w:rsidR="00822580" w:rsidRPr="00CF56E5">
        <w:rPr>
          <w:bCs/>
          <w:sz w:val="21"/>
          <w:szCs w:val="21"/>
        </w:rPr>
        <w:t>A s</w:t>
      </w:r>
      <w:r w:rsidR="00654B43" w:rsidRPr="00CF56E5">
        <w:rPr>
          <w:bCs/>
          <w:sz w:val="21"/>
          <w:szCs w:val="21"/>
        </w:rPr>
        <w:t>etback of the Improvement from the property lines of the Land</w:t>
      </w:r>
      <w:r w:rsidR="00822580" w:rsidRPr="00CF56E5">
        <w:rPr>
          <w:bCs/>
          <w:sz w:val="21"/>
          <w:szCs w:val="21"/>
        </w:rPr>
        <w:t>;</w:t>
      </w:r>
    </w:p>
    <w:p w14:paraId="273CB99E" w14:textId="0384CA15" w:rsidR="006E397A" w:rsidRPr="00CF56E5" w:rsidRDefault="00DE17FB" w:rsidP="003E53E3">
      <w:pPr>
        <w:ind w:left="720" w:hanging="360"/>
        <w:contextualSpacing/>
        <w:jc w:val="both"/>
        <w:rPr>
          <w:bCs/>
          <w:sz w:val="21"/>
          <w:szCs w:val="21"/>
        </w:rPr>
      </w:pPr>
      <w:r w:rsidRPr="00CF56E5">
        <w:rPr>
          <w:bCs/>
          <w:sz w:val="21"/>
          <w:szCs w:val="21"/>
        </w:rPr>
        <w:t>d.</w:t>
      </w:r>
      <w:r w:rsidRPr="00CF56E5">
        <w:rPr>
          <w:bCs/>
          <w:sz w:val="21"/>
          <w:szCs w:val="21"/>
        </w:rPr>
        <w:tab/>
      </w:r>
      <w:r w:rsidR="00822580" w:rsidRPr="00CF56E5">
        <w:rPr>
          <w:bCs/>
          <w:sz w:val="21"/>
          <w:szCs w:val="21"/>
        </w:rPr>
        <w:t>The h</w:t>
      </w:r>
      <w:r w:rsidR="00654B43" w:rsidRPr="00CF56E5">
        <w:rPr>
          <w:bCs/>
          <w:sz w:val="21"/>
          <w:szCs w:val="21"/>
        </w:rPr>
        <w:t>eight of the Improvement</w:t>
      </w:r>
      <w:r w:rsidR="00822580" w:rsidRPr="00CF56E5">
        <w:rPr>
          <w:bCs/>
          <w:sz w:val="21"/>
          <w:szCs w:val="21"/>
        </w:rPr>
        <w:t>;</w:t>
      </w:r>
      <w:r w:rsidR="00654B43" w:rsidRPr="00CF56E5">
        <w:rPr>
          <w:bCs/>
          <w:sz w:val="21"/>
          <w:szCs w:val="21"/>
        </w:rPr>
        <w:t xml:space="preserve"> or</w:t>
      </w:r>
    </w:p>
    <w:p w14:paraId="5FA9B558" w14:textId="18492FA5" w:rsidR="006E397A" w:rsidRPr="00CF56E5" w:rsidRDefault="00DE17FB" w:rsidP="003E53E3">
      <w:pPr>
        <w:ind w:left="720" w:hanging="360"/>
        <w:contextualSpacing/>
        <w:jc w:val="both"/>
        <w:rPr>
          <w:bCs/>
          <w:sz w:val="21"/>
          <w:szCs w:val="21"/>
        </w:rPr>
      </w:pPr>
      <w:r w:rsidRPr="00CF56E5">
        <w:rPr>
          <w:bCs/>
          <w:sz w:val="21"/>
          <w:szCs w:val="21"/>
        </w:rPr>
        <w:t>e.</w:t>
      </w:r>
      <w:r w:rsidRPr="00CF56E5">
        <w:rPr>
          <w:bCs/>
          <w:sz w:val="21"/>
          <w:szCs w:val="21"/>
        </w:rPr>
        <w:tab/>
      </w:r>
      <w:r w:rsidR="00822580" w:rsidRPr="00CF56E5">
        <w:rPr>
          <w:bCs/>
          <w:sz w:val="21"/>
          <w:szCs w:val="21"/>
        </w:rPr>
        <w:t>The n</w:t>
      </w:r>
      <w:r w:rsidR="00654B43" w:rsidRPr="00CF56E5">
        <w:rPr>
          <w:bCs/>
          <w:sz w:val="21"/>
          <w:szCs w:val="21"/>
        </w:rPr>
        <w:t>umber of parking spaces.</w:t>
      </w:r>
    </w:p>
    <w:p w14:paraId="0C9ECDBC" w14:textId="77777777" w:rsidR="006E397A" w:rsidRPr="00CF56E5" w:rsidRDefault="006E397A" w:rsidP="006E6A4F">
      <w:pPr>
        <w:ind w:left="540" w:hanging="540"/>
        <w:contextualSpacing/>
        <w:jc w:val="both"/>
        <w:rPr>
          <w:bCs/>
          <w:sz w:val="21"/>
          <w:szCs w:val="21"/>
        </w:rPr>
      </w:pPr>
    </w:p>
    <w:p w14:paraId="434753D4" w14:textId="4AB58044" w:rsidR="005B73E4" w:rsidRPr="00CF56E5" w:rsidRDefault="005B73E4" w:rsidP="003E53E3">
      <w:pPr>
        <w:numPr>
          <w:ilvl w:val="0"/>
          <w:numId w:val="5"/>
        </w:numPr>
        <w:ind w:left="360"/>
        <w:contextualSpacing/>
        <w:jc w:val="both"/>
        <w:rPr>
          <w:sz w:val="21"/>
          <w:szCs w:val="21"/>
        </w:rPr>
      </w:pPr>
      <w:r w:rsidRPr="00CF56E5">
        <w:rPr>
          <w:bCs/>
          <w:sz w:val="21"/>
          <w:szCs w:val="21"/>
        </w:rPr>
        <w:t xml:space="preserve">There </w:t>
      </w:r>
      <w:r w:rsidR="009B45D6" w:rsidRPr="00CF56E5">
        <w:rPr>
          <w:bCs/>
          <w:sz w:val="21"/>
          <w:szCs w:val="21"/>
        </w:rPr>
        <w:t>is</w:t>
      </w:r>
      <w:r w:rsidRPr="00CF56E5">
        <w:rPr>
          <w:bCs/>
          <w:sz w:val="21"/>
          <w:szCs w:val="21"/>
        </w:rPr>
        <w:t xml:space="preserve"> no liability </w:t>
      </w:r>
      <w:r w:rsidRPr="00CF56E5">
        <w:rPr>
          <w:sz w:val="21"/>
          <w:szCs w:val="21"/>
        </w:rPr>
        <w:t>under this endorsement based on</w:t>
      </w:r>
      <w:r w:rsidR="009977B3" w:rsidRPr="00CF56E5">
        <w:rPr>
          <w:sz w:val="21"/>
          <w:szCs w:val="21"/>
        </w:rPr>
        <w:t>:</w:t>
      </w:r>
    </w:p>
    <w:p w14:paraId="00F6218E" w14:textId="6DA4B548" w:rsidR="005B73E4" w:rsidRPr="00CF56E5" w:rsidRDefault="00DE17FB" w:rsidP="003E53E3">
      <w:pPr>
        <w:ind w:left="720" w:hanging="360"/>
        <w:contextualSpacing/>
        <w:jc w:val="both"/>
        <w:rPr>
          <w:sz w:val="21"/>
          <w:szCs w:val="21"/>
        </w:rPr>
      </w:pPr>
      <w:r w:rsidRPr="00CF56E5">
        <w:rPr>
          <w:sz w:val="21"/>
          <w:szCs w:val="21"/>
        </w:rPr>
        <w:t>a.</w:t>
      </w:r>
      <w:r w:rsidRPr="00CF56E5">
        <w:rPr>
          <w:sz w:val="21"/>
          <w:szCs w:val="21"/>
        </w:rPr>
        <w:tab/>
      </w:r>
      <w:r w:rsidR="00822580" w:rsidRPr="00CF56E5">
        <w:rPr>
          <w:sz w:val="21"/>
          <w:szCs w:val="21"/>
        </w:rPr>
        <w:t>T</w:t>
      </w:r>
      <w:r w:rsidR="005B73E4" w:rsidRPr="00CF56E5">
        <w:rPr>
          <w:sz w:val="21"/>
          <w:szCs w:val="21"/>
        </w:rPr>
        <w:t xml:space="preserve">he invalidity of the </w:t>
      </w:r>
      <w:r w:rsidR="00822580" w:rsidRPr="00CF56E5">
        <w:rPr>
          <w:sz w:val="21"/>
          <w:szCs w:val="21"/>
        </w:rPr>
        <w:t>Zoning Ordinance</w:t>
      </w:r>
      <w:r w:rsidR="005B73E4" w:rsidRPr="00CF56E5">
        <w:rPr>
          <w:sz w:val="21"/>
          <w:szCs w:val="21"/>
        </w:rPr>
        <w:t xml:space="preserve"> until after a final decree of a </w:t>
      </w:r>
      <w:r w:rsidR="00D23B68" w:rsidRPr="00CF56E5">
        <w:rPr>
          <w:sz w:val="21"/>
          <w:szCs w:val="21"/>
        </w:rPr>
        <w:t xml:space="preserve">State or federal </w:t>
      </w:r>
      <w:r w:rsidR="005B73E4" w:rsidRPr="00CF56E5">
        <w:rPr>
          <w:sz w:val="21"/>
          <w:szCs w:val="21"/>
        </w:rPr>
        <w:t xml:space="preserve">court </w:t>
      </w:r>
      <w:r w:rsidR="00D23B68" w:rsidRPr="00CF56E5">
        <w:rPr>
          <w:sz w:val="21"/>
          <w:szCs w:val="21"/>
        </w:rPr>
        <w:t>having</w:t>
      </w:r>
      <w:r w:rsidR="005B73E4" w:rsidRPr="00CF56E5">
        <w:rPr>
          <w:sz w:val="21"/>
          <w:szCs w:val="21"/>
        </w:rPr>
        <w:t xml:space="preserve"> jurisdiction adjudicating the invalidity, the effect of which is to prohibit the use or uses</w:t>
      </w:r>
      <w:r w:rsidR="00D23B68" w:rsidRPr="00CF56E5">
        <w:rPr>
          <w:sz w:val="21"/>
          <w:szCs w:val="21"/>
        </w:rPr>
        <w:t xml:space="preserve"> described in Section 2.b.</w:t>
      </w:r>
      <w:r w:rsidR="005B73E4" w:rsidRPr="00CF56E5">
        <w:rPr>
          <w:sz w:val="21"/>
          <w:szCs w:val="21"/>
        </w:rPr>
        <w:t xml:space="preserve"> </w:t>
      </w:r>
    </w:p>
    <w:p w14:paraId="7D71FA15" w14:textId="1E936891" w:rsidR="005B73E4" w:rsidRPr="00CF56E5" w:rsidRDefault="00DE17FB" w:rsidP="003E53E3">
      <w:pPr>
        <w:ind w:left="720" w:hanging="360"/>
        <w:contextualSpacing/>
        <w:jc w:val="both"/>
        <w:rPr>
          <w:sz w:val="21"/>
          <w:szCs w:val="21"/>
        </w:rPr>
      </w:pPr>
      <w:r w:rsidRPr="00CF56E5">
        <w:rPr>
          <w:sz w:val="21"/>
          <w:szCs w:val="21"/>
        </w:rPr>
        <w:t>b.</w:t>
      </w:r>
      <w:r w:rsidRPr="00CF56E5">
        <w:rPr>
          <w:sz w:val="21"/>
          <w:szCs w:val="21"/>
        </w:rPr>
        <w:tab/>
      </w:r>
      <w:r w:rsidR="00D23B68" w:rsidRPr="00CF56E5">
        <w:rPr>
          <w:sz w:val="21"/>
          <w:szCs w:val="21"/>
        </w:rPr>
        <w:t>T</w:t>
      </w:r>
      <w:r w:rsidR="005B73E4" w:rsidRPr="00CF56E5">
        <w:rPr>
          <w:sz w:val="21"/>
          <w:szCs w:val="21"/>
        </w:rPr>
        <w:t>he refusal of any person to purchase, lease</w:t>
      </w:r>
      <w:r w:rsidR="00D23B68" w:rsidRPr="00CF56E5">
        <w:rPr>
          <w:sz w:val="21"/>
          <w:szCs w:val="21"/>
        </w:rPr>
        <w:t>,</w:t>
      </w:r>
      <w:r w:rsidR="005B73E4" w:rsidRPr="00CF56E5">
        <w:rPr>
          <w:sz w:val="21"/>
          <w:szCs w:val="21"/>
        </w:rPr>
        <w:t xml:space="preserve"> or lend money on the Title covered by this policy.</w:t>
      </w:r>
    </w:p>
    <w:p w14:paraId="1893EBFF" w14:textId="77777777" w:rsidR="006E397A" w:rsidRPr="00CF56E5" w:rsidRDefault="006E397A" w:rsidP="009035CE">
      <w:pPr>
        <w:contextualSpacing/>
        <w:jc w:val="both"/>
        <w:rPr>
          <w:sz w:val="21"/>
          <w:szCs w:val="21"/>
        </w:rPr>
      </w:pPr>
    </w:p>
    <w:p w14:paraId="7DD15818" w14:textId="15B975F7" w:rsidR="005B73E4" w:rsidRPr="00CF56E5" w:rsidRDefault="005B73E4" w:rsidP="009035CE">
      <w:pPr>
        <w:contextualSpacing/>
        <w:jc w:val="both"/>
        <w:rPr>
          <w:color w:val="000000"/>
          <w:sz w:val="21"/>
          <w:szCs w:val="21"/>
        </w:rPr>
      </w:pPr>
      <w:r w:rsidRPr="00CF56E5">
        <w:rPr>
          <w:color w:val="000000"/>
          <w:sz w:val="21"/>
          <w:szCs w:val="21"/>
        </w:rPr>
        <w:t>This endorsement is issued as part of the policy. Except as it expressly states, it does not (i) modify any of the terms and provisions of the policy, (ii) modify any prior endorsements, (iii) extend the Date of Policy</w:t>
      </w:r>
      <w:r w:rsidRPr="00CF56E5">
        <w:rPr>
          <w:sz w:val="21"/>
          <w:szCs w:val="21"/>
        </w:rPr>
        <w:t>,</w:t>
      </w:r>
      <w:r w:rsidRPr="00CF56E5">
        <w:rPr>
          <w:color w:val="000000"/>
          <w:sz w:val="21"/>
          <w:szCs w:val="21"/>
        </w:rPr>
        <w:t xml:space="preserve">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3BAEDDD5" w14:textId="77777777" w:rsidR="003E53E3" w:rsidRPr="00100FC7" w:rsidRDefault="003E53E3" w:rsidP="003E53E3">
      <w:pPr>
        <w:pStyle w:val="BodyTextIndent"/>
        <w:contextualSpacing/>
        <w:rPr>
          <w:rFonts w:cs="Arial"/>
          <w:kern w:val="16"/>
        </w:rPr>
      </w:pPr>
    </w:p>
    <w:p w14:paraId="3E811B08" w14:textId="77777777" w:rsidR="003E53E3" w:rsidRDefault="003E53E3" w:rsidP="003E53E3">
      <w:pPr>
        <w:pStyle w:val="BodyTextIndent"/>
        <w:ind w:left="0" w:firstLine="0"/>
        <w:contextualSpacing/>
        <w:rPr>
          <w:b/>
          <w:kern w:val="16"/>
        </w:rPr>
      </w:pPr>
    </w:p>
    <w:p w14:paraId="79F6D5E6" w14:textId="77777777" w:rsidR="003E53E3" w:rsidRPr="00E515E9" w:rsidRDefault="003E53E3" w:rsidP="003E53E3">
      <w:pPr>
        <w:pStyle w:val="Default"/>
        <w:jc w:val="center"/>
        <w:rPr>
          <w:rFonts w:ascii="Times New Roman" w:hAnsi="Times New Roman" w:cs="Times New Roman"/>
          <w:sz w:val="21"/>
          <w:szCs w:val="21"/>
        </w:rPr>
      </w:pPr>
      <w:r w:rsidRPr="00E515E9">
        <w:rPr>
          <w:rFonts w:ascii="Times New Roman" w:hAnsi="Times New Roman" w:cs="Times New Roman"/>
          <w:noProof/>
          <w:sz w:val="21"/>
          <w:szCs w:val="21"/>
        </w:rPr>
        <w:drawing>
          <wp:anchor distT="0" distB="0" distL="114300" distR="114300" simplePos="0" relativeHeight="251659264" behindDoc="0" locked="0" layoutInCell="1" allowOverlap="1" wp14:anchorId="24D94E84" wp14:editId="3FA5F000">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E515E9">
        <w:rPr>
          <w:rFonts w:ascii="Times New Roman" w:hAnsi="Times New Roman" w:cs="Times New Roman"/>
          <w:sz w:val="21"/>
          <w:szCs w:val="21"/>
        </w:rPr>
        <w:t>CATIC</w:t>
      </w:r>
    </w:p>
    <w:p w14:paraId="0D78CA26" w14:textId="77777777" w:rsidR="003E53E3" w:rsidRPr="00E515E9" w:rsidRDefault="003E53E3" w:rsidP="003E53E3">
      <w:pPr>
        <w:pStyle w:val="Default"/>
        <w:jc w:val="center"/>
        <w:rPr>
          <w:rFonts w:ascii="Times New Roman" w:hAnsi="Times New Roman" w:cs="Times New Roman"/>
          <w:sz w:val="21"/>
          <w:szCs w:val="21"/>
        </w:rPr>
      </w:pPr>
    </w:p>
    <w:p w14:paraId="6DEFD55D" w14:textId="2141A746" w:rsidR="003E53E3" w:rsidRPr="00E515E9" w:rsidRDefault="003E53E3" w:rsidP="003E53E3">
      <w:pPr>
        <w:pStyle w:val="Default"/>
        <w:jc w:val="center"/>
        <w:rPr>
          <w:rFonts w:ascii="Times New Roman" w:hAnsi="Times New Roman"/>
          <w:sz w:val="21"/>
          <w:szCs w:val="21"/>
        </w:rPr>
      </w:pPr>
      <w:r w:rsidRPr="00E515E9">
        <w:rPr>
          <w:noProof/>
          <w:sz w:val="21"/>
          <w:szCs w:val="21"/>
        </w:rPr>
        <w:drawing>
          <wp:inline distT="0" distB="0" distL="0" distR="0" wp14:anchorId="5BF505DE" wp14:editId="61EEF5A1">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6EBADAA1" w14:textId="51C24CBC" w:rsidR="003E53E3" w:rsidRPr="00E515E9" w:rsidRDefault="003E53E3" w:rsidP="003E53E3">
      <w:pPr>
        <w:jc w:val="center"/>
        <w:rPr>
          <w:sz w:val="21"/>
          <w:szCs w:val="21"/>
        </w:rPr>
      </w:pPr>
      <w:r w:rsidRPr="00E515E9">
        <w:rPr>
          <w:sz w:val="21"/>
          <w:szCs w:val="21"/>
        </w:rPr>
        <w:t>JAMES M. CZAPIGA, PRESIDENT</w:t>
      </w:r>
    </w:p>
    <w:sectPr w:rsidR="003E53E3" w:rsidRPr="00E515E9" w:rsidSect="00D901E2">
      <w:headerReference w:type="default" r:id="rId13"/>
      <w:footerReference w:type="default" r:id="rId14"/>
      <w:pgSz w:w="12240" w:h="15840"/>
      <w:pgMar w:top="720" w:right="720" w:bottom="720" w:left="720" w:header="720" w:footer="288"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9AD4" w14:textId="77777777" w:rsidR="00A55440" w:rsidRDefault="00A55440">
      <w:r>
        <w:separator/>
      </w:r>
    </w:p>
  </w:endnote>
  <w:endnote w:type="continuationSeparator" w:id="0">
    <w:p w14:paraId="317C21CA" w14:textId="77777777" w:rsidR="00A55440" w:rsidRDefault="00A55440">
      <w:r>
        <w:continuationSeparator/>
      </w:r>
    </w:p>
  </w:endnote>
  <w:endnote w:type="continuationNotice" w:id="1">
    <w:p w14:paraId="7C385EE1" w14:textId="77777777" w:rsidR="00A55440" w:rsidRDefault="00A55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73911" w14:textId="77777777" w:rsidR="008F6A1E" w:rsidRDefault="008F6A1E" w:rsidP="003E53E3">
    <w:pPr>
      <w:pBdr>
        <w:bottom w:val="single" w:sz="12" w:space="0" w:color="auto"/>
      </w:pBdr>
      <w:rPr>
        <w:rFonts w:ascii="Arial" w:hAnsi="Arial"/>
        <w:b/>
        <w:sz w:val="16"/>
      </w:rPr>
    </w:pPr>
  </w:p>
  <w:p w14:paraId="369539E3" w14:textId="77777777" w:rsidR="008F6A1E" w:rsidRPr="00D361AA" w:rsidRDefault="008F6A1E" w:rsidP="003E53E3">
    <w:pPr>
      <w:pStyle w:val="Header"/>
      <w:tabs>
        <w:tab w:val="clear" w:pos="4320"/>
        <w:tab w:val="clear" w:pos="8640"/>
      </w:tabs>
      <w:rPr>
        <w:sz w:val="16"/>
        <w:szCs w:val="16"/>
      </w:rPr>
    </w:pPr>
  </w:p>
  <w:p w14:paraId="15DA84D8" w14:textId="77777777" w:rsidR="008F6A1E" w:rsidRPr="003E53E3" w:rsidRDefault="008F6A1E" w:rsidP="003E53E3">
    <w:pPr>
      <w:pStyle w:val="Header"/>
      <w:tabs>
        <w:tab w:val="clear" w:pos="4320"/>
        <w:tab w:val="clear" w:pos="8640"/>
      </w:tabs>
      <w:rPr>
        <w:sz w:val="16"/>
        <w:szCs w:val="16"/>
      </w:rPr>
    </w:pPr>
    <w:r w:rsidRPr="003E53E3">
      <w:rPr>
        <w:sz w:val="16"/>
        <w:szCs w:val="16"/>
      </w:rPr>
      <w:t>ALTA Endorsement 3.2 (7-1-2021)</w:t>
    </w:r>
  </w:p>
  <w:p w14:paraId="7B2721F7" w14:textId="77777777" w:rsidR="008F6A1E" w:rsidRPr="003E53E3" w:rsidRDefault="008F6A1E" w:rsidP="003E53E3">
    <w:pPr>
      <w:pStyle w:val="Header1"/>
      <w:pBdr>
        <w:bottom w:val="none" w:sz="0" w:space="0" w:color="auto"/>
      </w:pBdr>
      <w:tabs>
        <w:tab w:val="clear" w:pos="4320"/>
        <w:tab w:val="clear" w:pos="9360"/>
      </w:tabs>
      <w:rPr>
        <w:rFonts w:ascii="Times New Roman" w:hAnsi="Times New Roman"/>
        <w:b w:val="0"/>
        <w:bCs/>
        <w:sz w:val="16"/>
      </w:rPr>
    </w:pPr>
    <w:r w:rsidRPr="003E53E3">
      <w:rPr>
        <w:rFonts w:ascii="Times New Roman" w:hAnsi="Times New Roman"/>
        <w:b w:val="0"/>
        <w:bCs/>
        <w:sz w:val="16"/>
      </w:rPr>
      <w:t>Zoning</w:t>
    </w:r>
    <w:r w:rsidRPr="00A723E0">
      <w:rPr>
        <w:rFonts w:ascii="Times New Roman" w:hAnsi="Times New Roman"/>
        <w:bCs/>
        <w:sz w:val="16"/>
        <w:szCs w:val="16"/>
      </w:rPr>
      <w:t>—</w:t>
    </w:r>
    <w:r w:rsidRPr="003E53E3">
      <w:rPr>
        <w:rFonts w:ascii="Times New Roman" w:hAnsi="Times New Roman"/>
        <w:b w:val="0"/>
        <w:bCs/>
        <w:sz w:val="16"/>
      </w:rPr>
      <w:t>Land</w:t>
    </w:r>
    <w:r>
      <w:rPr>
        <w:rFonts w:ascii="Times New Roman" w:hAnsi="Times New Roman"/>
        <w:b w:val="0"/>
        <w:bCs/>
        <w:sz w:val="16"/>
      </w:rPr>
      <w:t xml:space="preserve"> </w:t>
    </w:r>
    <w:r w:rsidRPr="003E53E3">
      <w:rPr>
        <w:rFonts w:ascii="Times New Roman" w:hAnsi="Times New Roman"/>
        <w:b w:val="0"/>
        <w:bCs/>
        <w:sz w:val="16"/>
      </w:rPr>
      <w:t>Under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F99D3" w14:textId="77777777" w:rsidR="00A55440" w:rsidRDefault="00A55440">
      <w:r>
        <w:separator/>
      </w:r>
    </w:p>
  </w:footnote>
  <w:footnote w:type="continuationSeparator" w:id="0">
    <w:p w14:paraId="39E86111" w14:textId="77777777" w:rsidR="00A55440" w:rsidRDefault="00A55440">
      <w:r>
        <w:continuationSeparator/>
      </w:r>
    </w:p>
  </w:footnote>
  <w:footnote w:type="continuationNotice" w:id="1">
    <w:p w14:paraId="1C3440A6" w14:textId="77777777" w:rsidR="00A55440" w:rsidRDefault="00A55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5ECE" w14:textId="77777777" w:rsidR="008F6A1E" w:rsidRDefault="008F6A1E" w:rsidP="00E515E9">
    <w:pPr>
      <w:jc w:val="right"/>
      <w:rPr>
        <w:rFonts w:cs="Arial"/>
        <w:bCs/>
      </w:rPr>
    </w:pPr>
    <w:r w:rsidRPr="00D603C5">
      <w:rPr>
        <w:noProof/>
      </w:rPr>
      <w:drawing>
        <wp:inline distT="0" distB="0" distL="0" distR="0" wp14:anchorId="5B7975AE" wp14:editId="5DA46BA7">
          <wp:extent cx="1666875" cy="447675"/>
          <wp:effectExtent l="0" t="0" r="9525" b="9525"/>
          <wp:docPr id="1036985929" name="Picture 1036985929"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46B1DBFA" w14:textId="77777777" w:rsidR="008F6A1E" w:rsidRPr="008F6A1E" w:rsidRDefault="008F6A1E" w:rsidP="00E515E9">
    <w:pPr>
      <w:jc w:val="right"/>
      <w:rPr>
        <w:b/>
        <w:sz w:val="18"/>
      </w:rPr>
    </w:pPr>
    <w:r>
      <w:rPr>
        <w:rFonts w:ascii="Arial" w:hAnsi="Arial" w:cs="Arial"/>
        <w:b/>
        <w:sz w:val="18"/>
      </w:rPr>
      <w:tab/>
    </w:r>
    <w:r w:rsidRPr="008F6A1E">
      <w:rPr>
        <w:b/>
        <w:sz w:val="18"/>
      </w:rPr>
      <w:t>101 Corporate Place, Rocky Hill, CT 06067</w:t>
    </w:r>
  </w:p>
  <w:p w14:paraId="3050E92D" w14:textId="77777777" w:rsidR="008F6A1E" w:rsidRPr="00D603C5" w:rsidRDefault="008F6A1E" w:rsidP="003E53E3">
    <w:pPr>
      <w:tabs>
        <w:tab w:val="right" w:pos="10800"/>
      </w:tabs>
      <w:rPr>
        <w:rFonts w:ascii="Arial" w:hAnsi="Arial" w:cs="Arial"/>
        <w:b/>
        <w:sz w:val="18"/>
      </w:rPr>
    </w:pPr>
  </w:p>
  <w:p w14:paraId="2B0E37A5" w14:textId="77777777" w:rsidR="008F6A1E" w:rsidRPr="003E53E3" w:rsidRDefault="008F6A1E" w:rsidP="003E53E3">
    <w:pPr>
      <w:tabs>
        <w:tab w:val="left" w:pos="510"/>
        <w:tab w:val="right" w:pos="10800"/>
      </w:tabs>
      <w:rPr>
        <w:rFonts w:asciiTheme="minorHAnsi" w:hAnsiTheme="minorHAnsi" w:cstheme="minorHAnsi"/>
        <w:sz w:val="18"/>
        <w:szCs w:val="18"/>
      </w:rPr>
    </w:pPr>
    <w:r>
      <w:rPr>
        <w:noProof/>
      </w:rPr>
      <mc:AlternateContent>
        <mc:Choice Requires="wps">
          <w:drawing>
            <wp:anchor distT="4294967295" distB="4294967295" distL="114300" distR="114300" simplePos="0" relativeHeight="251661312" behindDoc="0" locked="0" layoutInCell="1" allowOverlap="1" wp14:anchorId="07C2BE89" wp14:editId="55145194">
              <wp:simplePos x="0" y="0"/>
              <wp:positionH relativeFrom="margin">
                <wp:align>left</wp:align>
              </wp:positionH>
              <wp:positionV relativeFrom="paragraph">
                <wp:posOffset>12065</wp:posOffset>
              </wp:positionV>
              <wp:extent cx="6894830" cy="0"/>
              <wp:effectExtent l="0" t="19050" r="20320" b="19050"/>
              <wp:wrapNone/>
              <wp:docPr id="83908858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F00D"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5pt" to="54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0VsQEAAEkDAAAOAAAAZHJzL2Uyb0RvYy54bWysU02P0zAQvSPxHyzfadrCLiVquocuy2WB&#10;Srv8gKntJBaOx5pxm/TfY3vbsoIbIgdrPB/Pb95M1nfT4MTREFv0jVzM5lIYr1Bb3zXyx/PDu5UU&#10;HMFrcOhNI0+G5d3m7Zv1GGqzxB6dNiQSiOd6DI3sYwx1VbHqzQA8w2B8CrZIA8R0pa7SBGNCH1y1&#10;nM9vqxFJB0JlmJP3/iUoNwW/bY2K39uWTRSukYlbLCeVc5/ParOGuiMIvVVnGvAPLAawPj16hbqH&#10;COJA9i+owSpCxjbOFA4Vtq1VpvSQulnM/+jmqYdgSi9JHA5Xmfj/wapvx63fUaauJv8UHlH9ZOFx&#10;24PvTCHwfAppcIssVTUGrq8l+cJhR2I/fkWdcuAQsagwtTRkyNSfmIrYp6vYZopCJeft6tOH1fs0&#10;E3WJVVBfCgNx/GJwENlopLM+6wA1HB85ZiJQX1Ky2+ODda7M0nkxNnK5uvl4UyoYndU5mvOYuv3W&#10;kThCXofylbZS5HUa4cHrgtYb0J/PdgTrXuz0uvNnNbIAedu43qM+7eiiUppXoXnerbwQr++l+vcf&#10;sPkFAAD//wMAUEsDBBQABgAIAAAAIQB4Ol+Z2QAAAAUBAAAPAAAAZHJzL2Rvd25yZXYueG1sTI9B&#10;S8NAEIXvgv9hGcGL2I2CEmM2pRa8ScFWxOMkO02C2dmwu23Sf+/Uix7nvceb75XL2Q3qSCH2ng3c&#10;LTJQxI23PbcGPnavtzmomJAtDp7JwIkiLKvLixIL6yd+p+M2tUpKOBZooEtpLLSOTUcO48KPxOLt&#10;fXCY5AyttgEnKXeDvs+yR+2wZ/nQ4Ujrjprv7cEZaHCz3uD+U0+YvlYvN/XbKbS5MddX8+oZVKI5&#10;/YXhjC/oUAlT7Q9soxoMyJAk6hOos5nlDzKk/hV0Ver/9NUPAAAA//8DAFBLAQItABQABgAIAAAA&#10;IQC2gziS/gAAAOEBAAATAAAAAAAAAAAAAAAAAAAAAABbQ29udGVudF9UeXBlc10ueG1sUEsBAi0A&#10;FAAGAAgAAAAhADj9If/WAAAAlAEAAAsAAAAAAAAAAAAAAAAALwEAAF9yZWxzLy5yZWxzUEsBAi0A&#10;FAAGAAgAAAAhAMdBnRWxAQAASQMAAA4AAAAAAAAAAAAAAAAALgIAAGRycy9lMm9Eb2MueG1sUEsB&#10;Ai0AFAAGAAgAAAAhAHg6X5nZAAAABQEAAA8AAAAAAAAAAAAAAAAACwQAAGRycy9kb3ducmV2Lnht&#10;bFBLBQYAAAAABAAEAPMAAAARBQ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20" w:hanging="720"/>
      </w:pPr>
      <w:rPr>
        <w:rFonts w:ascii="Times New Roman" w:hAnsi="Times New Roman" w:cs="Times New Roman"/>
        <w:b w:val="0"/>
        <w:bCs w:val="0"/>
        <w:i w:val="0"/>
        <w:iCs w:val="0"/>
        <w:w w:val="100"/>
        <w:sz w:val="24"/>
        <w:szCs w:val="24"/>
      </w:rPr>
    </w:lvl>
    <w:lvl w:ilvl="1">
      <w:start w:val="1"/>
      <w:numFmt w:val="lowerLetter"/>
      <w:lvlText w:val="%2."/>
      <w:lvlJc w:val="left"/>
      <w:pPr>
        <w:ind w:left="2240" w:hanging="720"/>
      </w:pPr>
      <w:rPr>
        <w:rFonts w:ascii="Times New Roman" w:hAnsi="Times New Roman" w:cs="Times New Roman"/>
        <w:b w:val="0"/>
        <w:bCs w:val="0"/>
        <w:i w:val="0"/>
        <w:iCs w:val="0"/>
        <w:spacing w:val="-1"/>
        <w:w w:val="100"/>
        <w:sz w:val="24"/>
        <w:szCs w:val="24"/>
      </w:rPr>
    </w:lvl>
    <w:lvl w:ilvl="2">
      <w:numFmt w:val="bullet"/>
      <w:lvlText w:val="•"/>
      <w:lvlJc w:val="left"/>
      <w:pPr>
        <w:ind w:left="3204" w:hanging="720"/>
      </w:pPr>
    </w:lvl>
    <w:lvl w:ilvl="3">
      <w:numFmt w:val="bullet"/>
      <w:lvlText w:val="•"/>
      <w:lvlJc w:val="left"/>
      <w:pPr>
        <w:ind w:left="4168" w:hanging="720"/>
      </w:pPr>
    </w:lvl>
    <w:lvl w:ilvl="4">
      <w:numFmt w:val="bullet"/>
      <w:lvlText w:val="•"/>
      <w:lvlJc w:val="left"/>
      <w:pPr>
        <w:ind w:left="5133" w:hanging="720"/>
      </w:pPr>
    </w:lvl>
    <w:lvl w:ilvl="5">
      <w:numFmt w:val="bullet"/>
      <w:lvlText w:val="•"/>
      <w:lvlJc w:val="left"/>
      <w:pPr>
        <w:ind w:left="6097" w:hanging="720"/>
      </w:pPr>
    </w:lvl>
    <w:lvl w:ilvl="6">
      <w:numFmt w:val="bullet"/>
      <w:lvlText w:val="•"/>
      <w:lvlJc w:val="left"/>
      <w:pPr>
        <w:ind w:left="7062" w:hanging="720"/>
      </w:pPr>
    </w:lvl>
    <w:lvl w:ilvl="7">
      <w:numFmt w:val="bullet"/>
      <w:lvlText w:val="•"/>
      <w:lvlJc w:val="left"/>
      <w:pPr>
        <w:ind w:left="8026" w:hanging="720"/>
      </w:pPr>
    </w:lvl>
    <w:lvl w:ilvl="8">
      <w:numFmt w:val="bullet"/>
      <w:lvlText w:val="•"/>
      <w:lvlJc w:val="left"/>
      <w:pPr>
        <w:ind w:left="8991" w:hanging="720"/>
      </w:pPr>
    </w:lvl>
  </w:abstractNum>
  <w:abstractNum w:abstractNumId="1" w15:restartNumberingAfterBreak="0">
    <w:nsid w:val="0639566E"/>
    <w:multiLevelType w:val="hybridMultilevel"/>
    <w:tmpl w:val="05EA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E57C4"/>
    <w:multiLevelType w:val="hybridMultilevel"/>
    <w:tmpl w:val="6D70D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8A499D"/>
    <w:multiLevelType w:val="hybridMultilevel"/>
    <w:tmpl w:val="848A34EE"/>
    <w:lvl w:ilvl="0" w:tplc="08CCC4C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E1227"/>
    <w:multiLevelType w:val="hybridMultilevel"/>
    <w:tmpl w:val="E15E5B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974147"/>
    <w:multiLevelType w:val="hybridMultilevel"/>
    <w:tmpl w:val="1C1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E11B2"/>
    <w:multiLevelType w:val="hybridMultilevel"/>
    <w:tmpl w:val="0040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81F76"/>
    <w:multiLevelType w:val="multilevel"/>
    <w:tmpl w:val="5526E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BE71C99"/>
    <w:multiLevelType w:val="hybridMultilevel"/>
    <w:tmpl w:val="8F9276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8588123">
    <w:abstractNumId w:val="8"/>
  </w:num>
  <w:num w:numId="2" w16cid:durableId="522131906">
    <w:abstractNumId w:val="9"/>
  </w:num>
  <w:num w:numId="3" w16cid:durableId="613483339">
    <w:abstractNumId w:val="5"/>
  </w:num>
  <w:num w:numId="4" w16cid:durableId="1413504458">
    <w:abstractNumId w:val="6"/>
  </w:num>
  <w:num w:numId="5" w16cid:durableId="453908099">
    <w:abstractNumId w:val="3"/>
  </w:num>
  <w:num w:numId="6" w16cid:durableId="1382286536">
    <w:abstractNumId w:val="7"/>
    <w:lvlOverride w:ilvl="0">
      <w:lvl w:ilvl="0">
        <w:start w:val="1"/>
        <w:numFmt w:val="decimal"/>
        <w:lvlText w:val="%1."/>
        <w:lvlJc w:val="left"/>
        <w:pPr>
          <w:tabs>
            <w:tab w:val="num" w:pos="360"/>
          </w:tabs>
          <w:ind w:left="360" w:hanging="360"/>
        </w:pPr>
        <w:rPr>
          <w:rFonts w:hint="default"/>
          <w:b/>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 w16cid:durableId="1831632234">
    <w:abstractNumId w:val="4"/>
  </w:num>
  <w:num w:numId="8" w16cid:durableId="664357877">
    <w:abstractNumId w:val="0"/>
  </w:num>
  <w:num w:numId="9" w16cid:durableId="554901325">
    <w:abstractNumId w:val="1"/>
  </w:num>
  <w:num w:numId="10" w16cid:durableId="194491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AM9hu02q0rEvOmPkzcRNZjwR56aS0uXCM8LzmQYLRvwTXKyaPDNllgWJAYgxPZJThCEmhl/6zJAII7j/jFUAg==" w:salt="tNpYW5YQ2UWfv+MJMnmwtw=="/>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80"/>
    <w:rsid w:val="00001B70"/>
    <w:rsid w:val="00010341"/>
    <w:rsid w:val="00023CF3"/>
    <w:rsid w:val="00031966"/>
    <w:rsid w:val="00034F9A"/>
    <w:rsid w:val="00072EB8"/>
    <w:rsid w:val="000D2743"/>
    <w:rsid w:val="001039B0"/>
    <w:rsid w:val="0014134D"/>
    <w:rsid w:val="0015465A"/>
    <w:rsid w:val="00157457"/>
    <w:rsid w:val="00157880"/>
    <w:rsid w:val="00173DC1"/>
    <w:rsid w:val="0018372F"/>
    <w:rsid w:val="001B7A19"/>
    <w:rsid w:val="00237A8F"/>
    <w:rsid w:val="00241E7F"/>
    <w:rsid w:val="00250D9B"/>
    <w:rsid w:val="00264E30"/>
    <w:rsid w:val="00286885"/>
    <w:rsid w:val="00287DA1"/>
    <w:rsid w:val="00292501"/>
    <w:rsid w:val="002963FF"/>
    <w:rsid w:val="002A3C7F"/>
    <w:rsid w:val="002A7C61"/>
    <w:rsid w:val="002C3929"/>
    <w:rsid w:val="002C5FAD"/>
    <w:rsid w:val="00327F52"/>
    <w:rsid w:val="00331976"/>
    <w:rsid w:val="00335BE2"/>
    <w:rsid w:val="00345322"/>
    <w:rsid w:val="00363055"/>
    <w:rsid w:val="00371F20"/>
    <w:rsid w:val="0037293B"/>
    <w:rsid w:val="00382414"/>
    <w:rsid w:val="00396585"/>
    <w:rsid w:val="003976D1"/>
    <w:rsid w:val="003A6AB2"/>
    <w:rsid w:val="003B0E15"/>
    <w:rsid w:val="003B5E21"/>
    <w:rsid w:val="003E53E3"/>
    <w:rsid w:val="004014D8"/>
    <w:rsid w:val="0040750A"/>
    <w:rsid w:val="004372A7"/>
    <w:rsid w:val="00446CFD"/>
    <w:rsid w:val="00451349"/>
    <w:rsid w:val="004660F7"/>
    <w:rsid w:val="0047232B"/>
    <w:rsid w:val="0047746C"/>
    <w:rsid w:val="004948C6"/>
    <w:rsid w:val="004A11BD"/>
    <w:rsid w:val="004B5173"/>
    <w:rsid w:val="004C0917"/>
    <w:rsid w:val="004D71BE"/>
    <w:rsid w:val="004E52AF"/>
    <w:rsid w:val="004E78DF"/>
    <w:rsid w:val="00507E20"/>
    <w:rsid w:val="0053066B"/>
    <w:rsid w:val="00547BE7"/>
    <w:rsid w:val="005738B2"/>
    <w:rsid w:val="005751A4"/>
    <w:rsid w:val="005813BA"/>
    <w:rsid w:val="00584062"/>
    <w:rsid w:val="005B73E4"/>
    <w:rsid w:val="005F18C4"/>
    <w:rsid w:val="006049D6"/>
    <w:rsid w:val="00613949"/>
    <w:rsid w:val="006174C6"/>
    <w:rsid w:val="00633DEC"/>
    <w:rsid w:val="00654B43"/>
    <w:rsid w:val="0066365C"/>
    <w:rsid w:val="00672DEE"/>
    <w:rsid w:val="00682BE9"/>
    <w:rsid w:val="006B10D3"/>
    <w:rsid w:val="006D3238"/>
    <w:rsid w:val="006D499A"/>
    <w:rsid w:val="006E0441"/>
    <w:rsid w:val="006E397A"/>
    <w:rsid w:val="006E6A4F"/>
    <w:rsid w:val="0070378E"/>
    <w:rsid w:val="00705B5E"/>
    <w:rsid w:val="00705E87"/>
    <w:rsid w:val="00731993"/>
    <w:rsid w:val="007C6D87"/>
    <w:rsid w:val="007E3B75"/>
    <w:rsid w:val="007E7480"/>
    <w:rsid w:val="007F088D"/>
    <w:rsid w:val="00805BE3"/>
    <w:rsid w:val="00822580"/>
    <w:rsid w:val="008708D9"/>
    <w:rsid w:val="008749BF"/>
    <w:rsid w:val="00877AE0"/>
    <w:rsid w:val="008810F7"/>
    <w:rsid w:val="008A6EC1"/>
    <w:rsid w:val="008B3AD8"/>
    <w:rsid w:val="008C772C"/>
    <w:rsid w:val="008E4027"/>
    <w:rsid w:val="008F6A1E"/>
    <w:rsid w:val="009035CE"/>
    <w:rsid w:val="00910720"/>
    <w:rsid w:val="00910D8F"/>
    <w:rsid w:val="00913702"/>
    <w:rsid w:val="009341AB"/>
    <w:rsid w:val="00934E12"/>
    <w:rsid w:val="0098092D"/>
    <w:rsid w:val="00995A7C"/>
    <w:rsid w:val="009977B3"/>
    <w:rsid w:val="009A0FF3"/>
    <w:rsid w:val="009A36E4"/>
    <w:rsid w:val="009B45D6"/>
    <w:rsid w:val="009D5922"/>
    <w:rsid w:val="009D6413"/>
    <w:rsid w:val="009E4ABA"/>
    <w:rsid w:val="009F58A6"/>
    <w:rsid w:val="009F6346"/>
    <w:rsid w:val="00A024AD"/>
    <w:rsid w:val="00A13589"/>
    <w:rsid w:val="00A15902"/>
    <w:rsid w:val="00A26C6A"/>
    <w:rsid w:val="00A41AD3"/>
    <w:rsid w:val="00A534DF"/>
    <w:rsid w:val="00A55440"/>
    <w:rsid w:val="00A56F4C"/>
    <w:rsid w:val="00AC5E76"/>
    <w:rsid w:val="00AD4D05"/>
    <w:rsid w:val="00B26C73"/>
    <w:rsid w:val="00B41834"/>
    <w:rsid w:val="00B74BD2"/>
    <w:rsid w:val="00B90B16"/>
    <w:rsid w:val="00B9647D"/>
    <w:rsid w:val="00BC35A3"/>
    <w:rsid w:val="00BD28D6"/>
    <w:rsid w:val="00BD6904"/>
    <w:rsid w:val="00BE420A"/>
    <w:rsid w:val="00BF1D04"/>
    <w:rsid w:val="00BF442B"/>
    <w:rsid w:val="00BF6939"/>
    <w:rsid w:val="00C04BFD"/>
    <w:rsid w:val="00C20E20"/>
    <w:rsid w:val="00C62943"/>
    <w:rsid w:val="00C6755B"/>
    <w:rsid w:val="00C777F9"/>
    <w:rsid w:val="00C77F08"/>
    <w:rsid w:val="00CE31A6"/>
    <w:rsid w:val="00CF0F39"/>
    <w:rsid w:val="00CF56E5"/>
    <w:rsid w:val="00D02681"/>
    <w:rsid w:val="00D03EEF"/>
    <w:rsid w:val="00D23B68"/>
    <w:rsid w:val="00D31E63"/>
    <w:rsid w:val="00D336D3"/>
    <w:rsid w:val="00D901E2"/>
    <w:rsid w:val="00DB381F"/>
    <w:rsid w:val="00DD09F4"/>
    <w:rsid w:val="00DE17FB"/>
    <w:rsid w:val="00E515E9"/>
    <w:rsid w:val="00E5218D"/>
    <w:rsid w:val="00E551BB"/>
    <w:rsid w:val="00E70A3F"/>
    <w:rsid w:val="00E71EAB"/>
    <w:rsid w:val="00E748D3"/>
    <w:rsid w:val="00E826D3"/>
    <w:rsid w:val="00E9753B"/>
    <w:rsid w:val="00EB558D"/>
    <w:rsid w:val="00ED14F4"/>
    <w:rsid w:val="00EE3294"/>
    <w:rsid w:val="00F56EC4"/>
    <w:rsid w:val="00F66063"/>
    <w:rsid w:val="00F84FF0"/>
    <w:rsid w:val="00FD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650096A"/>
  <w15:chartTrackingRefBased/>
  <w15:docId w15:val="{480DA01C-EEA1-44F3-A941-13A2D39A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499A"/>
    <w:rPr>
      <w:rFonts w:ascii="Tahoma" w:hAnsi="Tahoma" w:cs="Tahoma"/>
      <w:sz w:val="16"/>
      <w:szCs w:val="16"/>
    </w:rPr>
  </w:style>
  <w:style w:type="paragraph" w:styleId="ListParagraph">
    <w:name w:val="List Paragraph"/>
    <w:basedOn w:val="Normal"/>
    <w:uiPriority w:val="1"/>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rsid w:val="00363055"/>
    <w:rPr>
      <w:sz w:val="16"/>
      <w:szCs w:val="16"/>
    </w:rPr>
  </w:style>
  <w:style w:type="paragraph" w:styleId="CommentText">
    <w:name w:val="annotation text"/>
    <w:basedOn w:val="Normal"/>
    <w:link w:val="CommentTextChar"/>
    <w:rsid w:val="00363055"/>
  </w:style>
  <w:style w:type="character" w:customStyle="1" w:styleId="CommentTextChar">
    <w:name w:val="Comment Text Char"/>
    <w:basedOn w:val="DefaultParagraphFont"/>
    <w:link w:val="CommentText"/>
    <w:rsid w:val="00363055"/>
  </w:style>
  <w:style w:type="paragraph" w:styleId="CommentSubject">
    <w:name w:val="annotation subject"/>
    <w:basedOn w:val="CommentText"/>
    <w:next w:val="CommentText"/>
    <w:link w:val="CommentSubjectChar"/>
    <w:rsid w:val="00363055"/>
    <w:rPr>
      <w:b/>
      <w:bCs/>
    </w:rPr>
  </w:style>
  <w:style w:type="character" w:customStyle="1" w:styleId="CommentSubjectChar">
    <w:name w:val="Comment Subject Char"/>
    <w:basedOn w:val="CommentTextChar"/>
    <w:link w:val="CommentSubject"/>
    <w:rsid w:val="00363055"/>
    <w:rPr>
      <w:b/>
      <w:bCs/>
    </w:rPr>
  </w:style>
  <w:style w:type="character" w:styleId="LineNumber">
    <w:name w:val="line number"/>
    <w:basedOn w:val="DefaultParagraphFont"/>
    <w:rsid w:val="00910D8F"/>
  </w:style>
  <w:style w:type="paragraph" w:styleId="Revision">
    <w:name w:val="Revision"/>
    <w:hidden/>
    <w:uiPriority w:val="99"/>
    <w:semiHidden/>
    <w:rsid w:val="00451349"/>
  </w:style>
  <w:style w:type="paragraph" w:customStyle="1" w:styleId="Default">
    <w:name w:val="Default"/>
    <w:rsid w:val="003E53E3"/>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3E53E3"/>
  </w:style>
  <w:style w:type="paragraph" w:styleId="Subtitle">
    <w:name w:val="Subtitle"/>
    <w:basedOn w:val="Normal"/>
    <w:link w:val="SubtitleChar"/>
    <w:uiPriority w:val="11"/>
    <w:qFormat/>
    <w:rsid w:val="008F6A1E"/>
    <w:rPr>
      <w:rFonts w:eastAsia="Calibri"/>
      <w:b/>
      <w:bCs/>
      <w:sz w:val="24"/>
      <w:szCs w:val="24"/>
    </w:rPr>
  </w:style>
  <w:style w:type="character" w:customStyle="1" w:styleId="SubtitleChar">
    <w:name w:val="Subtitle Char"/>
    <w:basedOn w:val="DefaultParagraphFont"/>
    <w:link w:val="Subtitle"/>
    <w:uiPriority w:val="11"/>
    <w:rsid w:val="008F6A1E"/>
    <w:rPr>
      <w:rFonts w:eastAsia="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629729">
      <w:bodyDiv w:val="1"/>
      <w:marLeft w:val="0"/>
      <w:marRight w:val="0"/>
      <w:marTop w:val="0"/>
      <w:marBottom w:val="0"/>
      <w:divBdr>
        <w:top w:val="none" w:sz="0" w:space="0" w:color="auto"/>
        <w:left w:val="none" w:sz="0" w:space="0" w:color="auto"/>
        <w:bottom w:val="none" w:sz="0" w:space="0" w:color="auto"/>
        <w:right w:val="none" w:sz="0" w:space="0" w:color="auto"/>
      </w:divBdr>
    </w:div>
    <w:div w:id="1787119384">
      <w:bodyDiv w:val="1"/>
      <w:marLeft w:val="0"/>
      <w:marRight w:val="0"/>
      <w:marTop w:val="0"/>
      <w:marBottom w:val="0"/>
      <w:divBdr>
        <w:top w:val="none" w:sz="0" w:space="0" w:color="auto"/>
        <w:left w:val="none" w:sz="0" w:space="0" w:color="auto"/>
        <w:bottom w:val="none" w:sz="0" w:space="0" w:color="auto"/>
        <w:right w:val="none" w:sz="0" w:space="0" w:color="auto"/>
      </w:divBdr>
    </w:div>
    <w:div w:id="18877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EA0B5-C954-4DD1-A032-9E8945077F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CCF6D2-406A-4694-89AF-E7F66D0B8683}">
  <ds:schemaRefs>
    <ds:schemaRef ds:uri="http://schemas.openxmlformats.org/officeDocument/2006/bibliography"/>
  </ds:schemaRefs>
</ds:datastoreItem>
</file>

<file path=customXml/itemProps3.xml><?xml version="1.0" encoding="utf-8"?>
<ds:datastoreItem xmlns:ds="http://schemas.openxmlformats.org/officeDocument/2006/customXml" ds:itemID="{9D37BD41-9FC2-446C-B387-A886E7521F6C}">
  <ds:schemaRefs>
    <ds:schemaRef ds:uri="http://schemas.microsoft.com/sharepoint/v3/contenttype/forms"/>
  </ds:schemaRefs>
</ds:datastoreItem>
</file>

<file path=customXml/itemProps4.xml><?xml version="1.0" encoding="utf-8"?>
<ds:datastoreItem xmlns:ds="http://schemas.openxmlformats.org/officeDocument/2006/customXml" ds:itemID="{F5957D31-F808-4AAB-9548-F2F2BAF9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CLTEND</Template>
  <TotalTime>24</TotalTime>
  <Pages>4</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 Forms Committee</dc:creator>
  <cp:keywords/>
  <cp:lastModifiedBy>Finnie Lau</cp:lastModifiedBy>
  <cp:revision>12</cp:revision>
  <cp:lastPrinted>2012-01-23T22:39:00Z</cp:lastPrinted>
  <dcterms:created xsi:type="dcterms:W3CDTF">2021-10-04T11:49:00Z</dcterms:created>
  <dcterms:modified xsi:type="dcterms:W3CDTF">2023-11-06T17:10:00Z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52200</vt:r8>
  </property>
</Properties>
</file>