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7B2A8" w14:textId="77777777" w:rsidR="00B746A2" w:rsidRDefault="00B746A2" w:rsidP="00B746A2">
      <w:pPr>
        <w:pStyle w:val="Title"/>
        <w:rPr>
          <w:color w:val="000000"/>
          <w:u w:val="none"/>
        </w:rPr>
      </w:pPr>
      <w:r>
        <w:rPr>
          <w:color w:val="000000"/>
          <w:u w:val="none"/>
        </w:rPr>
        <w:t>INSTRUCTIONS FOR ALTA ENDORSEMENT FORM 3.3-06</w:t>
      </w:r>
    </w:p>
    <w:p w14:paraId="10DD8F9B" w14:textId="77777777" w:rsidR="00B746A2" w:rsidRPr="00FF4B43" w:rsidRDefault="00B746A2" w:rsidP="00B746A2">
      <w:pPr>
        <w:jc w:val="center"/>
        <w:rPr>
          <w:b/>
          <w:bCs/>
          <w:color w:val="000000"/>
          <w:sz w:val="24"/>
          <w:szCs w:val="24"/>
        </w:rPr>
      </w:pPr>
      <w:r w:rsidRPr="00FF4B43">
        <w:rPr>
          <w:b/>
          <w:bCs/>
          <w:color w:val="000000"/>
          <w:sz w:val="24"/>
          <w:szCs w:val="24"/>
        </w:rPr>
        <w:t>ZONING – COMPLETED IMPROVEMENT- NON-CONFORMING USE</w:t>
      </w:r>
    </w:p>
    <w:p w14:paraId="1EDAE61B" w14:textId="77777777" w:rsidR="00B746A2" w:rsidRPr="00FF4B43" w:rsidRDefault="00B746A2" w:rsidP="00B746A2">
      <w:pPr>
        <w:jc w:val="center"/>
        <w:rPr>
          <w:b/>
          <w:bCs/>
          <w:color w:val="000000"/>
          <w:sz w:val="24"/>
          <w:szCs w:val="24"/>
        </w:rPr>
      </w:pPr>
    </w:p>
    <w:p w14:paraId="4EBA6782" w14:textId="77777777" w:rsidR="00B746A2" w:rsidRPr="00FF4B43" w:rsidRDefault="00B746A2" w:rsidP="00B746A2">
      <w:pPr>
        <w:rPr>
          <w:b/>
          <w:bCs/>
          <w:color w:val="000000"/>
          <w:sz w:val="24"/>
          <w:szCs w:val="24"/>
        </w:rPr>
      </w:pPr>
      <w:r w:rsidRPr="00FF4B43">
        <w:rPr>
          <w:b/>
          <w:bCs/>
          <w:color w:val="000000"/>
          <w:sz w:val="24"/>
          <w:szCs w:val="24"/>
        </w:rPr>
        <w:t>PURPOSE OF ENDORSEMENT</w:t>
      </w:r>
    </w:p>
    <w:p w14:paraId="6021CDED" w14:textId="77777777" w:rsidR="00B746A2" w:rsidRPr="00B746A2" w:rsidRDefault="00B746A2" w:rsidP="00B746A2">
      <w:pPr>
        <w:rPr>
          <w:sz w:val="24"/>
          <w:szCs w:val="24"/>
        </w:rPr>
      </w:pPr>
    </w:p>
    <w:p w14:paraId="0BE5E5ED" w14:textId="7CBF02DD" w:rsidR="00B746A2" w:rsidRPr="00B746A2" w:rsidRDefault="00B746A2" w:rsidP="00B746A2">
      <w:pPr>
        <w:rPr>
          <w:sz w:val="24"/>
          <w:szCs w:val="24"/>
        </w:rPr>
      </w:pPr>
      <w:r w:rsidRPr="00B746A2">
        <w:rPr>
          <w:sz w:val="24"/>
          <w:szCs w:val="24"/>
        </w:rPr>
        <w:t>Th</w:t>
      </w:r>
      <w:r w:rsidR="00FF4B43">
        <w:rPr>
          <w:sz w:val="24"/>
          <w:szCs w:val="24"/>
        </w:rPr>
        <w:t>is e</w:t>
      </w:r>
      <w:r w:rsidRPr="00B746A2">
        <w:rPr>
          <w:sz w:val="24"/>
          <w:szCs w:val="24"/>
        </w:rPr>
        <w:t xml:space="preserve">ndorsement insures against loss or damage resulting from a Non-Conforming Use, described in the endorsement, not being allowed because that Non-Conforming Use violates a zoning ordinance or regulation applicable to the property being insured.  This endorsement also insures against loss if a court decision either prohibits the Non-Conforming Use, or requires the removal or alteration of an </w:t>
      </w:r>
      <w:r w:rsidR="00FF4B43">
        <w:rPr>
          <w:sz w:val="24"/>
          <w:szCs w:val="24"/>
        </w:rPr>
        <w:t>existing building</w:t>
      </w:r>
      <w:r w:rsidRPr="00B746A2">
        <w:rPr>
          <w:sz w:val="24"/>
          <w:szCs w:val="24"/>
        </w:rPr>
        <w:t xml:space="preserve">, because the Non-Conforming Use violates </w:t>
      </w:r>
      <w:r w:rsidR="008E5EA6">
        <w:rPr>
          <w:sz w:val="24"/>
          <w:szCs w:val="24"/>
        </w:rPr>
        <w:t>certain</w:t>
      </w:r>
      <w:r w:rsidRPr="00B746A2">
        <w:rPr>
          <w:sz w:val="24"/>
          <w:szCs w:val="24"/>
        </w:rPr>
        <w:t xml:space="preserve"> zoning </w:t>
      </w:r>
      <w:r w:rsidR="00886865">
        <w:rPr>
          <w:sz w:val="24"/>
          <w:szCs w:val="24"/>
        </w:rPr>
        <w:t>requirements regarding the land or the building listed in the endorsement</w:t>
      </w:r>
      <w:r w:rsidRPr="00B746A2">
        <w:rPr>
          <w:sz w:val="24"/>
          <w:szCs w:val="24"/>
        </w:rPr>
        <w:t xml:space="preserve">.  The endorsement defines Non-Conforming Use as a use existing </w:t>
      </w:r>
      <w:r w:rsidR="00886865">
        <w:rPr>
          <w:sz w:val="24"/>
          <w:szCs w:val="24"/>
        </w:rPr>
        <w:t xml:space="preserve">at the Date of Policy and </w:t>
      </w:r>
      <w:r w:rsidRPr="00B746A2">
        <w:rPr>
          <w:sz w:val="24"/>
          <w:szCs w:val="24"/>
        </w:rPr>
        <w:t>prior to the enactment of a zoning ordinance applicable to the land.</w:t>
      </w:r>
    </w:p>
    <w:p w14:paraId="0DB26CFF" w14:textId="77777777" w:rsidR="00B746A2" w:rsidRPr="00B746A2" w:rsidRDefault="00B746A2" w:rsidP="00B746A2">
      <w:pPr>
        <w:rPr>
          <w:sz w:val="24"/>
          <w:szCs w:val="24"/>
        </w:rPr>
      </w:pPr>
    </w:p>
    <w:p w14:paraId="110C3972" w14:textId="77777777" w:rsidR="00B746A2" w:rsidRPr="00B746A2" w:rsidRDefault="00B746A2" w:rsidP="00B746A2">
      <w:pPr>
        <w:rPr>
          <w:b/>
          <w:sz w:val="24"/>
          <w:szCs w:val="24"/>
        </w:rPr>
      </w:pPr>
      <w:r w:rsidRPr="00B746A2">
        <w:rPr>
          <w:b/>
          <w:sz w:val="24"/>
          <w:szCs w:val="24"/>
        </w:rPr>
        <w:t>UNDERWRITING REQUIREMENTS</w:t>
      </w:r>
    </w:p>
    <w:p w14:paraId="1D0496D8" w14:textId="77777777" w:rsidR="00B746A2" w:rsidRPr="00B746A2" w:rsidRDefault="00B746A2" w:rsidP="00B746A2">
      <w:pPr>
        <w:rPr>
          <w:sz w:val="24"/>
          <w:szCs w:val="24"/>
        </w:rPr>
      </w:pPr>
    </w:p>
    <w:p w14:paraId="541B9A6F" w14:textId="1D3CC485" w:rsidR="00B746A2" w:rsidRDefault="00B746A2" w:rsidP="00B746A2">
      <w:pPr>
        <w:ind w:left="720" w:hanging="720"/>
        <w:rPr>
          <w:sz w:val="24"/>
          <w:szCs w:val="24"/>
        </w:rPr>
      </w:pPr>
      <w:r w:rsidRPr="00B746A2">
        <w:rPr>
          <w:sz w:val="24"/>
          <w:szCs w:val="24"/>
        </w:rPr>
        <w:t>1.</w:t>
      </w:r>
      <w:r w:rsidRPr="00B746A2">
        <w:rPr>
          <w:sz w:val="24"/>
          <w:szCs w:val="24"/>
        </w:rPr>
        <w:tab/>
        <w:t>Verify the zoning classification for the land and the allowed uses in that zone, then determine when any building existing on the land was completed and when the zoning ordinance applicable to the land was enacted</w:t>
      </w:r>
      <w:r w:rsidR="00EF38F9">
        <w:rPr>
          <w:sz w:val="24"/>
          <w:szCs w:val="24"/>
        </w:rPr>
        <w:t>.</w:t>
      </w:r>
    </w:p>
    <w:p w14:paraId="73DA7F75" w14:textId="20589C6C" w:rsidR="00FF4B43" w:rsidRDefault="00FF4B43" w:rsidP="00B746A2">
      <w:pPr>
        <w:ind w:left="720" w:hanging="720"/>
        <w:rPr>
          <w:sz w:val="24"/>
          <w:szCs w:val="24"/>
        </w:rPr>
      </w:pPr>
    </w:p>
    <w:p w14:paraId="0275AAE3" w14:textId="4233833B" w:rsidR="00FF4B43" w:rsidRPr="00B746A2" w:rsidRDefault="00FF4B43" w:rsidP="00B746A2">
      <w:pPr>
        <w:ind w:left="720" w:hanging="720"/>
        <w:rPr>
          <w:sz w:val="24"/>
          <w:szCs w:val="24"/>
        </w:rPr>
      </w:pPr>
      <w:r>
        <w:rPr>
          <w:sz w:val="24"/>
          <w:szCs w:val="24"/>
        </w:rPr>
        <w:t>2.</w:t>
      </w:r>
      <w:r>
        <w:rPr>
          <w:sz w:val="24"/>
          <w:szCs w:val="24"/>
        </w:rPr>
        <w:tab/>
        <w:t>Describe the Non-Conforming Use in Section 2a of the endorsement.</w:t>
      </w:r>
    </w:p>
    <w:p w14:paraId="4200767B" w14:textId="77777777" w:rsidR="00B746A2" w:rsidRPr="00B746A2" w:rsidRDefault="00B746A2" w:rsidP="00B746A2">
      <w:pPr>
        <w:rPr>
          <w:sz w:val="24"/>
          <w:szCs w:val="24"/>
        </w:rPr>
      </w:pPr>
    </w:p>
    <w:p w14:paraId="26CE2494" w14:textId="29D43A57" w:rsidR="00B746A2" w:rsidRPr="00B746A2" w:rsidRDefault="00FF4B43" w:rsidP="00B746A2">
      <w:pPr>
        <w:ind w:left="720" w:hanging="720"/>
        <w:rPr>
          <w:sz w:val="24"/>
          <w:szCs w:val="24"/>
        </w:rPr>
      </w:pPr>
      <w:r>
        <w:rPr>
          <w:sz w:val="24"/>
          <w:szCs w:val="24"/>
        </w:rPr>
        <w:t>3.</w:t>
      </w:r>
      <w:r w:rsidR="00B746A2" w:rsidRPr="00B746A2">
        <w:rPr>
          <w:sz w:val="24"/>
          <w:szCs w:val="24"/>
        </w:rPr>
        <w:tab/>
        <w:t xml:space="preserve">Obtain a zoning letter or certificate from each zoning department or agency with regulatory authority over the land confirming that the use of the land </w:t>
      </w:r>
      <w:r>
        <w:rPr>
          <w:sz w:val="24"/>
          <w:szCs w:val="24"/>
        </w:rPr>
        <w:t xml:space="preserve">or the building where applicable, </w:t>
      </w:r>
      <w:r w:rsidR="00B746A2" w:rsidRPr="00B746A2">
        <w:rPr>
          <w:sz w:val="24"/>
          <w:szCs w:val="24"/>
        </w:rPr>
        <w:t>is legally non-conforming under all applicable zoning regulations</w:t>
      </w:r>
      <w:r>
        <w:rPr>
          <w:sz w:val="24"/>
          <w:szCs w:val="24"/>
        </w:rPr>
        <w:t>.</w:t>
      </w:r>
    </w:p>
    <w:p w14:paraId="4D5DF7B7" w14:textId="77777777" w:rsidR="00B746A2" w:rsidRPr="00B746A2" w:rsidRDefault="00B746A2" w:rsidP="00B746A2">
      <w:pPr>
        <w:ind w:left="720" w:hanging="720"/>
        <w:rPr>
          <w:sz w:val="24"/>
          <w:szCs w:val="24"/>
        </w:rPr>
      </w:pPr>
    </w:p>
    <w:p w14:paraId="28F4F8EE" w14:textId="21296928" w:rsidR="00B746A2" w:rsidRPr="00B746A2" w:rsidRDefault="00FF4B43" w:rsidP="00B746A2">
      <w:pPr>
        <w:ind w:left="720" w:hanging="720"/>
        <w:rPr>
          <w:color w:val="000000"/>
          <w:sz w:val="24"/>
          <w:szCs w:val="24"/>
        </w:rPr>
      </w:pPr>
      <w:r>
        <w:rPr>
          <w:sz w:val="24"/>
          <w:szCs w:val="24"/>
        </w:rPr>
        <w:t>4</w:t>
      </w:r>
      <w:r w:rsidR="00B746A2" w:rsidRPr="00B746A2">
        <w:rPr>
          <w:sz w:val="24"/>
          <w:szCs w:val="24"/>
        </w:rPr>
        <w:t>.</w:t>
      </w:r>
      <w:r w:rsidR="00B746A2" w:rsidRPr="00B746A2">
        <w:rPr>
          <w:sz w:val="24"/>
          <w:szCs w:val="24"/>
        </w:rPr>
        <w:tab/>
      </w:r>
      <w:r w:rsidR="00B746A2" w:rsidRPr="00B746A2">
        <w:rPr>
          <w:color w:val="000000"/>
          <w:sz w:val="24"/>
          <w:szCs w:val="24"/>
        </w:rPr>
        <w:t>An up-to-date "as built" ALTA survey or equivalent, certified to CATIC, must be provided to CATIC sufficiently in advance of the closing for CATIC to review it.</w:t>
      </w:r>
    </w:p>
    <w:p w14:paraId="58FE86F2" w14:textId="77777777" w:rsidR="00B746A2" w:rsidRPr="00B746A2" w:rsidRDefault="00B746A2" w:rsidP="00B746A2">
      <w:pPr>
        <w:ind w:left="720" w:hanging="720"/>
        <w:jc w:val="both"/>
        <w:rPr>
          <w:color w:val="000000"/>
          <w:sz w:val="24"/>
          <w:szCs w:val="24"/>
        </w:rPr>
      </w:pPr>
    </w:p>
    <w:p w14:paraId="378BCC81" w14:textId="75C563D6" w:rsidR="00B746A2" w:rsidRPr="00B746A2" w:rsidRDefault="00B746A2" w:rsidP="00B746A2">
      <w:pPr>
        <w:ind w:left="720"/>
        <w:jc w:val="both"/>
        <w:rPr>
          <w:color w:val="000000"/>
          <w:sz w:val="24"/>
          <w:szCs w:val="24"/>
        </w:rPr>
      </w:pPr>
      <w:r w:rsidRPr="00B746A2">
        <w:rPr>
          <w:color w:val="000000"/>
          <w:sz w:val="24"/>
          <w:szCs w:val="24"/>
        </w:rPr>
        <w:t xml:space="preserve">The  survey should contain a zoning matrix showing the following zoning requirements for the property in the subject zone and showing whether the </w:t>
      </w:r>
      <w:r w:rsidR="00FF4B43">
        <w:rPr>
          <w:color w:val="000000"/>
          <w:sz w:val="24"/>
          <w:szCs w:val="24"/>
        </w:rPr>
        <w:t>land or any existing buildings</w:t>
      </w:r>
      <w:r w:rsidRPr="00B746A2">
        <w:rPr>
          <w:color w:val="000000"/>
          <w:sz w:val="24"/>
          <w:szCs w:val="24"/>
        </w:rPr>
        <w:t xml:space="preserve"> </w:t>
      </w:r>
      <w:r w:rsidR="00FF4B43">
        <w:rPr>
          <w:color w:val="000000"/>
          <w:sz w:val="24"/>
          <w:szCs w:val="24"/>
        </w:rPr>
        <w:t>violate</w:t>
      </w:r>
      <w:r w:rsidRPr="00B746A2">
        <w:rPr>
          <w:color w:val="000000"/>
          <w:sz w:val="24"/>
          <w:szCs w:val="24"/>
        </w:rPr>
        <w:t xml:space="preserve"> the zoning requirements regarding:</w:t>
      </w:r>
    </w:p>
    <w:p w14:paraId="09313B7F" w14:textId="77777777" w:rsidR="00B746A2" w:rsidRPr="00B746A2" w:rsidRDefault="00B746A2" w:rsidP="00B746A2">
      <w:pPr>
        <w:ind w:left="720"/>
        <w:jc w:val="both"/>
        <w:rPr>
          <w:color w:val="000000"/>
          <w:sz w:val="24"/>
          <w:szCs w:val="24"/>
        </w:rPr>
      </w:pPr>
    </w:p>
    <w:p w14:paraId="40C42751" w14:textId="51754515" w:rsidR="00B746A2" w:rsidRPr="00B746A2" w:rsidRDefault="00B746A2" w:rsidP="00B746A2">
      <w:pPr>
        <w:pStyle w:val="ListParagraph"/>
        <w:numPr>
          <w:ilvl w:val="0"/>
          <w:numId w:val="2"/>
        </w:numPr>
        <w:jc w:val="both"/>
        <w:rPr>
          <w:color w:val="000000"/>
          <w:sz w:val="24"/>
          <w:szCs w:val="24"/>
        </w:rPr>
      </w:pPr>
      <w:r w:rsidRPr="00B746A2">
        <w:rPr>
          <w:color w:val="000000"/>
          <w:sz w:val="24"/>
          <w:szCs w:val="24"/>
        </w:rPr>
        <w:t xml:space="preserve">Area, width, or depth of the Land as a building site for </w:t>
      </w:r>
      <w:r w:rsidR="00886865">
        <w:rPr>
          <w:color w:val="000000"/>
          <w:sz w:val="24"/>
          <w:szCs w:val="24"/>
        </w:rPr>
        <w:t>any existing building</w:t>
      </w:r>
      <w:r w:rsidRPr="00B746A2">
        <w:rPr>
          <w:color w:val="000000"/>
          <w:sz w:val="24"/>
          <w:szCs w:val="24"/>
        </w:rPr>
        <w:t>,</w:t>
      </w:r>
    </w:p>
    <w:p w14:paraId="40252066" w14:textId="130867AB" w:rsidR="00B746A2" w:rsidRPr="00B746A2" w:rsidRDefault="00B746A2" w:rsidP="00B746A2">
      <w:pPr>
        <w:pStyle w:val="ListParagraph"/>
        <w:numPr>
          <w:ilvl w:val="0"/>
          <w:numId w:val="2"/>
        </w:numPr>
        <w:jc w:val="both"/>
        <w:rPr>
          <w:color w:val="000000"/>
          <w:sz w:val="24"/>
          <w:szCs w:val="24"/>
        </w:rPr>
      </w:pPr>
      <w:r w:rsidRPr="00B746A2">
        <w:rPr>
          <w:color w:val="000000"/>
          <w:sz w:val="24"/>
          <w:szCs w:val="24"/>
        </w:rPr>
        <w:t xml:space="preserve">Floor space area of the </w:t>
      </w:r>
      <w:r w:rsidR="00886865">
        <w:rPr>
          <w:color w:val="000000"/>
          <w:sz w:val="24"/>
          <w:szCs w:val="24"/>
        </w:rPr>
        <w:t>building</w:t>
      </w:r>
      <w:r w:rsidRPr="00B746A2">
        <w:rPr>
          <w:color w:val="000000"/>
          <w:sz w:val="24"/>
          <w:szCs w:val="24"/>
        </w:rPr>
        <w:t>,</w:t>
      </w:r>
    </w:p>
    <w:p w14:paraId="6B58B7F4" w14:textId="77777777" w:rsidR="00B746A2" w:rsidRPr="00B746A2" w:rsidRDefault="00B746A2" w:rsidP="00B746A2">
      <w:pPr>
        <w:pStyle w:val="ListParagraph"/>
        <w:numPr>
          <w:ilvl w:val="0"/>
          <w:numId w:val="2"/>
        </w:numPr>
        <w:jc w:val="both"/>
        <w:rPr>
          <w:color w:val="000000"/>
          <w:sz w:val="24"/>
          <w:szCs w:val="24"/>
        </w:rPr>
      </w:pPr>
      <w:r w:rsidRPr="00B746A2">
        <w:rPr>
          <w:color w:val="000000"/>
          <w:sz w:val="24"/>
          <w:szCs w:val="24"/>
        </w:rPr>
        <w:t>Setback of the structure from the property lines of the Land,</w:t>
      </w:r>
    </w:p>
    <w:p w14:paraId="4595EFBF" w14:textId="22C95417" w:rsidR="00B746A2" w:rsidRPr="00B746A2" w:rsidRDefault="00B746A2" w:rsidP="00B746A2">
      <w:pPr>
        <w:pStyle w:val="ListParagraph"/>
        <w:numPr>
          <w:ilvl w:val="0"/>
          <w:numId w:val="2"/>
        </w:numPr>
        <w:jc w:val="both"/>
        <w:rPr>
          <w:color w:val="000000"/>
          <w:sz w:val="24"/>
          <w:szCs w:val="24"/>
        </w:rPr>
      </w:pPr>
      <w:r w:rsidRPr="00B746A2">
        <w:rPr>
          <w:color w:val="000000"/>
          <w:sz w:val="24"/>
          <w:szCs w:val="24"/>
        </w:rPr>
        <w:t xml:space="preserve">Height of the </w:t>
      </w:r>
      <w:r w:rsidR="00886865">
        <w:rPr>
          <w:color w:val="000000"/>
          <w:sz w:val="24"/>
          <w:szCs w:val="24"/>
        </w:rPr>
        <w:t>building,</w:t>
      </w:r>
      <w:r w:rsidRPr="00B746A2">
        <w:rPr>
          <w:color w:val="000000"/>
          <w:sz w:val="24"/>
          <w:szCs w:val="24"/>
        </w:rPr>
        <w:t xml:space="preserve"> or</w:t>
      </w:r>
    </w:p>
    <w:p w14:paraId="241B3FA4" w14:textId="77777777" w:rsidR="00B746A2" w:rsidRPr="00B746A2" w:rsidRDefault="00B746A2" w:rsidP="00B746A2">
      <w:pPr>
        <w:pStyle w:val="ListParagraph"/>
        <w:numPr>
          <w:ilvl w:val="0"/>
          <w:numId w:val="2"/>
        </w:numPr>
        <w:jc w:val="both"/>
        <w:rPr>
          <w:color w:val="000000"/>
          <w:sz w:val="24"/>
          <w:szCs w:val="24"/>
        </w:rPr>
      </w:pPr>
      <w:r w:rsidRPr="00B746A2">
        <w:rPr>
          <w:color w:val="000000"/>
          <w:sz w:val="24"/>
          <w:szCs w:val="24"/>
        </w:rPr>
        <w:t>Number of parking spaces.</w:t>
      </w:r>
    </w:p>
    <w:p w14:paraId="44653478" w14:textId="77777777" w:rsidR="00B746A2" w:rsidRPr="00B746A2" w:rsidRDefault="00B746A2" w:rsidP="00B746A2">
      <w:pPr>
        <w:ind w:left="720"/>
        <w:jc w:val="both"/>
        <w:rPr>
          <w:color w:val="000000"/>
          <w:sz w:val="24"/>
          <w:szCs w:val="24"/>
        </w:rPr>
      </w:pPr>
    </w:p>
    <w:p w14:paraId="799ABAC7" w14:textId="030AB5F5" w:rsidR="00B746A2" w:rsidRPr="00B746A2" w:rsidRDefault="00B746A2" w:rsidP="00B746A2">
      <w:pPr>
        <w:ind w:left="720"/>
        <w:jc w:val="both"/>
        <w:rPr>
          <w:color w:val="000000"/>
          <w:sz w:val="24"/>
          <w:szCs w:val="24"/>
        </w:rPr>
      </w:pPr>
      <w:r w:rsidRPr="00B746A2">
        <w:rPr>
          <w:color w:val="000000"/>
          <w:sz w:val="24"/>
          <w:szCs w:val="24"/>
        </w:rPr>
        <w:t xml:space="preserve">In order to issue this endorsement, the property cannot be vacant land and </w:t>
      </w:r>
      <w:r w:rsidR="00886865">
        <w:rPr>
          <w:color w:val="000000"/>
          <w:sz w:val="24"/>
          <w:szCs w:val="24"/>
        </w:rPr>
        <w:t>any</w:t>
      </w:r>
      <w:r w:rsidRPr="00B746A2">
        <w:rPr>
          <w:color w:val="000000"/>
          <w:sz w:val="24"/>
          <w:szCs w:val="24"/>
        </w:rPr>
        <w:t xml:space="preserve"> </w:t>
      </w:r>
      <w:r w:rsidR="00FF4B43">
        <w:rPr>
          <w:color w:val="000000"/>
          <w:sz w:val="24"/>
          <w:szCs w:val="24"/>
        </w:rPr>
        <w:t>buildings</w:t>
      </w:r>
      <w:r w:rsidRPr="00B746A2">
        <w:rPr>
          <w:color w:val="000000"/>
          <w:sz w:val="24"/>
          <w:szCs w:val="24"/>
        </w:rPr>
        <w:t xml:space="preserve"> must be completed.</w:t>
      </w:r>
    </w:p>
    <w:p w14:paraId="3FFC66AB" w14:textId="77777777" w:rsidR="00B746A2" w:rsidRPr="00B746A2" w:rsidRDefault="00B746A2" w:rsidP="00B746A2">
      <w:pPr>
        <w:rPr>
          <w:sz w:val="24"/>
          <w:szCs w:val="24"/>
        </w:rPr>
      </w:pPr>
    </w:p>
    <w:p w14:paraId="458A2468" w14:textId="77777777" w:rsidR="00FF4898" w:rsidRDefault="00FF4B43" w:rsidP="00FF4B43">
      <w:pPr>
        <w:ind w:left="720" w:hanging="720"/>
        <w:rPr>
          <w:sz w:val="24"/>
          <w:szCs w:val="24"/>
        </w:rPr>
        <w:sectPr w:rsidR="00FF4898" w:rsidSect="00B746A2">
          <w:headerReference w:type="default" r:id="rId8"/>
          <w:footerReference w:type="default" r:id="rId9"/>
          <w:pgSz w:w="12240" w:h="15840"/>
          <w:pgMar w:top="1440" w:right="1440" w:bottom="1440" w:left="1440" w:header="576" w:footer="576" w:gutter="0"/>
          <w:paperSrc w:first="15" w:other="15"/>
          <w:cols w:space="720"/>
          <w:titlePg/>
          <w:docGrid w:linePitch="272"/>
        </w:sectPr>
      </w:pPr>
      <w:r>
        <w:rPr>
          <w:sz w:val="24"/>
          <w:szCs w:val="24"/>
        </w:rPr>
        <w:t>5</w:t>
      </w:r>
      <w:r w:rsidR="00B746A2" w:rsidRPr="00B746A2">
        <w:rPr>
          <w:sz w:val="24"/>
          <w:szCs w:val="24"/>
        </w:rPr>
        <w:t>.</w:t>
      </w:r>
      <w:r w:rsidR="00B746A2" w:rsidRPr="00B746A2">
        <w:rPr>
          <w:sz w:val="24"/>
          <w:szCs w:val="24"/>
        </w:rPr>
        <w:tab/>
        <w:t xml:space="preserve">If the surveyor is unable to provide the zoning matrix </w:t>
      </w:r>
      <w:r>
        <w:rPr>
          <w:sz w:val="24"/>
          <w:szCs w:val="24"/>
        </w:rPr>
        <w:t>and</w:t>
      </w:r>
      <w:r w:rsidR="00B746A2" w:rsidRPr="00B746A2">
        <w:rPr>
          <w:sz w:val="24"/>
          <w:szCs w:val="24"/>
        </w:rPr>
        <w:t xml:space="preserve"> both the land and the existing building are non-conforming, then the zoning letter or certificate from each zoning department or agency with regulatory authority over the property must confirm that both the land and the existing building are legally non-conforming as to items i-v in Section 2b </w:t>
      </w:r>
    </w:p>
    <w:p w14:paraId="50FB8A0F" w14:textId="5CA51E59" w:rsidR="00B746A2" w:rsidRPr="00B746A2" w:rsidRDefault="00B746A2" w:rsidP="00FF4898">
      <w:pPr>
        <w:ind w:left="720"/>
        <w:rPr>
          <w:sz w:val="24"/>
          <w:szCs w:val="24"/>
        </w:rPr>
      </w:pPr>
      <w:r w:rsidRPr="00B746A2">
        <w:rPr>
          <w:sz w:val="24"/>
          <w:szCs w:val="24"/>
        </w:rPr>
        <w:lastRenderedPageBreak/>
        <w:t xml:space="preserve">of the endorsement.  If neither the surveyor nor the regulatory authority is able to provide that confirmation, then the coverage provided by this endorsement cannot be used.  A modified form of endorsement, </w:t>
      </w:r>
      <w:r w:rsidR="00FF4B43">
        <w:rPr>
          <w:sz w:val="24"/>
          <w:szCs w:val="24"/>
        </w:rPr>
        <w:t>pr</w:t>
      </w:r>
      <w:r w:rsidR="00514C5C">
        <w:rPr>
          <w:sz w:val="24"/>
          <w:szCs w:val="24"/>
        </w:rPr>
        <w:t xml:space="preserve">epared </w:t>
      </w:r>
      <w:r w:rsidRPr="00B746A2">
        <w:rPr>
          <w:sz w:val="24"/>
          <w:szCs w:val="24"/>
        </w:rPr>
        <w:t xml:space="preserve">with </w:t>
      </w:r>
      <w:r w:rsidR="00FF4B43">
        <w:rPr>
          <w:sz w:val="24"/>
          <w:szCs w:val="24"/>
        </w:rPr>
        <w:t>CATIC’s</w:t>
      </w:r>
      <w:r w:rsidRPr="00B746A2">
        <w:rPr>
          <w:sz w:val="24"/>
          <w:szCs w:val="24"/>
        </w:rPr>
        <w:t xml:space="preserve"> assistance</w:t>
      </w:r>
      <w:r w:rsidR="00FF4B43">
        <w:rPr>
          <w:sz w:val="24"/>
          <w:szCs w:val="24"/>
        </w:rPr>
        <w:t>,</w:t>
      </w:r>
      <w:r w:rsidRPr="00B746A2">
        <w:rPr>
          <w:sz w:val="24"/>
          <w:szCs w:val="24"/>
        </w:rPr>
        <w:t xml:space="preserve"> will be needed. </w:t>
      </w:r>
    </w:p>
    <w:p w14:paraId="5CEC366B" w14:textId="77777777" w:rsidR="00B746A2" w:rsidRPr="00B746A2" w:rsidRDefault="00B746A2" w:rsidP="00B746A2">
      <w:pPr>
        <w:rPr>
          <w:sz w:val="24"/>
          <w:szCs w:val="24"/>
        </w:rPr>
      </w:pPr>
    </w:p>
    <w:p w14:paraId="6CF07FF5" w14:textId="2F844B8C" w:rsidR="00B746A2" w:rsidRPr="00B746A2" w:rsidRDefault="00FF4B43" w:rsidP="00B746A2">
      <w:pPr>
        <w:ind w:left="720" w:hanging="720"/>
        <w:jc w:val="both"/>
        <w:rPr>
          <w:color w:val="000000"/>
          <w:sz w:val="24"/>
          <w:szCs w:val="24"/>
        </w:rPr>
      </w:pPr>
      <w:r>
        <w:rPr>
          <w:color w:val="000000"/>
          <w:sz w:val="24"/>
          <w:szCs w:val="24"/>
        </w:rPr>
        <w:t>6</w:t>
      </w:r>
      <w:r w:rsidR="00B746A2" w:rsidRPr="00B746A2">
        <w:rPr>
          <w:color w:val="000000"/>
          <w:sz w:val="24"/>
          <w:szCs w:val="24"/>
        </w:rPr>
        <w:t>.</w:t>
      </w:r>
      <w:r w:rsidR="00B746A2" w:rsidRPr="00B746A2">
        <w:rPr>
          <w:color w:val="000000"/>
          <w:sz w:val="24"/>
          <w:szCs w:val="24"/>
        </w:rPr>
        <w:tab/>
        <w:t>This endorsement must be reviewed and approved by a CATIC Underwriting Counsel prior to issuance.</w:t>
      </w:r>
    </w:p>
    <w:p w14:paraId="6169D915" w14:textId="77777777" w:rsidR="00B746A2" w:rsidRPr="00B746A2" w:rsidRDefault="00B746A2" w:rsidP="00B746A2">
      <w:pPr>
        <w:ind w:left="1350" w:hanging="720"/>
        <w:jc w:val="both"/>
        <w:rPr>
          <w:color w:val="000000"/>
          <w:sz w:val="24"/>
          <w:szCs w:val="24"/>
        </w:rPr>
      </w:pPr>
    </w:p>
    <w:p w14:paraId="34B9D6DE" w14:textId="77777777" w:rsidR="00B746A2" w:rsidRPr="00B746A2" w:rsidRDefault="00B746A2" w:rsidP="00B746A2">
      <w:pPr>
        <w:jc w:val="both"/>
        <w:rPr>
          <w:color w:val="000000"/>
          <w:sz w:val="24"/>
          <w:szCs w:val="24"/>
        </w:rPr>
      </w:pPr>
      <w:r w:rsidRPr="00B746A2">
        <w:rPr>
          <w:b/>
          <w:color w:val="000000"/>
          <w:sz w:val="24"/>
          <w:szCs w:val="24"/>
        </w:rPr>
        <w:t>ADDITIONAL PREMIUM</w:t>
      </w:r>
    </w:p>
    <w:p w14:paraId="5874CD20" w14:textId="77777777" w:rsidR="00B746A2" w:rsidRPr="00B746A2" w:rsidRDefault="00B746A2" w:rsidP="00B746A2">
      <w:pPr>
        <w:jc w:val="both"/>
        <w:rPr>
          <w:color w:val="000000"/>
          <w:sz w:val="24"/>
          <w:szCs w:val="24"/>
        </w:rPr>
      </w:pPr>
    </w:p>
    <w:p w14:paraId="13EE3399" w14:textId="77777777" w:rsidR="00B746A2" w:rsidRPr="00B746A2" w:rsidRDefault="00B746A2" w:rsidP="00B746A2">
      <w:pPr>
        <w:pStyle w:val="Subtitle"/>
        <w:jc w:val="both"/>
        <w:rPr>
          <w:b w:val="0"/>
          <w:bCs w:val="0"/>
          <w:color w:val="000000"/>
          <w:szCs w:val="24"/>
        </w:rPr>
      </w:pPr>
      <w:r w:rsidRPr="00B746A2">
        <w:rPr>
          <w:b w:val="0"/>
          <w:bCs w:val="0"/>
          <w:color w:val="000000"/>
          <w:szCs w:val="24"/>
        </w:rPr>
        <w:t>Because of the risks associated with this endorsement, an additional premium is required each time one of these endorsements is issued.  The additional premium is equal to $0.50 per thousand dollars of insurance coverage.  There is no agent split on this endorsement.  The entire additional premium shall be remitted to CATIC.</w:t>
      </w:r>
    </w:p>
    <w:p w14:paraId="343E286F" w14:textId="77777777" w:rsidR="00B746A2" w:rsidRDefault="00B746A2" w:rsidP="00B746A2">
      <w:pPr>
        <w:jc w:val="both"/>
        <w:rPr>
          <w:b/>
          <w:i/>
        </w:rPr>
      </w:pPr>
    </w:p>
    <w:p w14:paraId="4FA1F879" w14:textId="2F2E90BE" w:rsidR="00B746A2" w:rsidRDefault="00B746A2" w:rsidP="00B746A2">
      <w:pPr>
        <w:jc w:val="both"/>
        <w:rPr>
          <w:b/>
          <w:i/>
          <w:sz w:val="24"/>
          <w:szCs w:val="24"/>
        </w:rPr>
      </w:pPr>
      <w:r w:rsidRPr="00FF4B43">
        <w:rPr>
          <w:b/>
          <w:i/>
          <w:sz w:val="24"/>
          <w:szCs w:val="24"/>
        </w:rPr>
        <w:t xml:space="preserve">Please contact a member of CATIC's underwriting staff </w:t>
      </w:r>
      <w:r w:rsidR="00514C5C">
        <w:rPr>
          <w:b/>
          <w:i/>
          <w:sz w:val="24"/>
          <w:szCs w:val="24"/>
        </w:rPr>
        <w:t xml:space="preserve">prior to issuing </w:t>
      </w:r>
      <w:r w:rsidRPr="00FF4B43">
        <w:rPr>
          <w:b/>
          <w:i/>
          <w:sz w:val="24"/>
          <w:szCs w:val="24"/>
        </w:rPr>
        <w:t>this endorsement.</w:t>
      </w:r>
    </w:p>
    <w:p w14:paraId="0695954E" w14:textId="77777777" w:rsidR="00FF4B43" w:rsidRPr="00FF4B43" w:rsidRDefault="00FF4B43" w:rsidP="00B746A2">
      <w:pPr>
        <w:jc w:val="both"/>
        <w:rPr>
          <w:b/>
          <w:i/>
          <w:sz w:val="24"/>
          <w:szCs w:val="24"/>
        </w:rPr>
      </w:pPr>
    </w:p>
    <w:p w14:paraId="13C6251C" w14:textId="77777777" w:rsidR="00B746A2" w:rsidRDefault="00B746A2" w:rsidP="00B746A2"/>
    <w:p w14:paraId="09DF2CC3" w14:textId="77777777" w:rsidR="00B746A2" w:rsidRDefault="00B746A2" w:rsidP="00EF79A1">
      <w:pPr>
        <w:pStyle w:val="Header1"/>
        <w:pBdr>
          <w:bottom w:val="none" w:sz="0" w:space="0" w:color="auto"/>
        </w:pBdr>
        <w:tabs>
          <w:tab w:val="clear" w:pos="4320"/>
          <w:tab w:val="clear" w:pos="9360"/>
        </w:tabs>
        <w:jc w:val="center"/>
        <w:rPr>
          <w:rFonts w:ascii="Times New Roman" w:hAnsi="Times New Roman"/>
          <w:bCs/>
          <w:kern w:val="16"/>
          <w:sz w:val="28"/>
          <w:szCs w:val="28"/>
        </w:rPr>
        <w:sectPr w:rsidR="00B746A2" w:rsidSect="00B746A2">
          <w:pgSz w:w="12240" w:h="15840"/>
          <w:pgMar w:top="1440" w:right="1440" w:bottom="1440" w:left="1440" w:header="576" w:footer="576" w:gutter="0"/>
          <w:paperSrc w:first="15" w:other="15"/>
          <w:cols w:space="720"/>
          <w:titlePg/>
          <w:docGrid w:linePitch="272"/>
        </w:sectPr>
      </w:pPr>
    </w:p>
    <w:p w14:paraId="65F71DB4" w14:textId="367A38BB" w:rsidR="005B73E4" w:rsidRPr="000A1716" w:rsidRDefault="00B50529" w:rsidP="00EF79A1">
      <w:pPr>
        <w:pStyle w:val="Header1"/>
        <w:pBdr>
          <w:bottom w:val="none" w:sz="0" w:space="0" w:color="auto"/>
        </w:pBdr>
        <w:tabs>
          <w:tab w:val="clear" w:pos="4320"/>
          <w:tab w:val="clear" w:pos="9360"/>
        </w:tabs>
        <w:jc w:val="center"/>
        <w:rPr>
          <w:rFonts w:ascii="Times New Roman" w:hAnsi="Times New Roman"/>
          <w:bCs/>
          <w:kern w:val="16"/>
          <w:sz w:val="28"/>
          <w:szCs w:val="28"/>
        </w:rPr>
      </w:pPr>
      <w:r w:rsidRPr="000A1716">
        <w:rPr>
          <w:rFonts w:ascii="Times New Roman" w:hAnsi="Times New Roman"/>
          <w:bCs/>
          <w:kern w:val="16"/>
          <w:sz w:val="28"/>
          <w:szCs w:val="28"/>
        </w:rPr>
        <w:t>ZONING</w:t>
      </w:r>
      <w:r w:rsidR="000A1716" w:rsidRPr="000A1716">
        <w:rPr>
          <w:rFonts w:ascii="Times New Roman" w:hAnsi="Times New Roman"/>
          <w:bCs/>
          <w:kern w:val="16"/>
          <w:sz w:val="28"/>
          <w:szCs w:val="28"/>
        </w:rPr>
        <w:t xml:space="preserve"> - </w:t>
      </w:r>
      <w:r w:rsidRPr="000A1716">
        <w:rPr>
          <w:rFonts w:ascii="Times New Roman" w:hAnsi="Times New Roman"/>
          <w:bCs/>
          <w:kern w:val="16"/>
          <w:sz w:val="28"/>
          <w:szCs w:val="28"/>
        </w:rPr>
        <w:t>COMPLETED IMPROVEMENT</w:t>
      </w:r>
      <w:r w:rsidR="000A1716" w:rsidRPr="000A1716">
        <w:rPr>
          <w:rFonts w:ascii="Times New Roman" w:hAnsi="Times New Roman"/>
          <w:bCs/>
          <w:kern w:val="16"/>
          <w:sz w:val="28"/>
          <w:szCs w:val="28"/>
        </w:rPr>
        <w:t xml:space="preserve"> - </w:t>
      </w:r>
      <w:r w:rsidRPr="000A1716">
        <w:rPr>
          <w:rFonts w:ascii="Times New Roman" w:hAnsi="Times New Roman"/>
          <w:bCs/>
          <w:kern w:val="16"/>
          <w:sz w:val="28"/>
          <w:szCs w:val="28"/>
        </w:rPr>
        <w:t xml:space="preserve">NON-CONFORMING USE </w:t>
      </w:r>
      <w:r w:rsidR="005B73E4" w:rsidRPr="000A1716">
        <w:rPr>
          <w:rFonts w:ascii="Times New Roman" w:hAnsi="Times New Roman"/>
          <w:bCs/>
          <w:kern w:val="16"/>
          <w:sz w:val="28"/>
          <w:szCs w:val="28"/>
        </w:rPr>
        <w:t>ENDORSEMENT</w:t>
      </w:r>
    </w:p>
    <w:p w14:paraId="21D3B3B4" w14:textId="03AEDB79" w:rsidR="00B50529" w:rsidRPr="000A1716" w:rsidRDefault="00B50529" w:rsidP="00EF79A1">
      <w:pPr>
        <w:pStyle w:val="Header1"/>
        <w:pBdr>
          <w:bottom w:val="none" w:sz="0" w:space="0" w:color="auto"/>
        </w:pBdr>
        <w:tabs>
          <w:tab w:val="clear" w:pos="4320"/>
          <w:tab w:val="clear" w:pos="9360"/>
        </w:tabs>
        <w:jc w:val="center"/>
        <w:rPr>
          <w:rFonts w:ascii="Times New Roman" w:hAnsi="Times New Roman"/>
          <w:b w:val="0"/>
          <w:bCs/>
          <w:kern w:val="16"/>
          <w:sz w:val="22"/>
          <w:szCs w:val="22"/>
        </w:rPr>
      </w:pPr>
    </w:p>
    <w:p w14:paraId="61B36744" w14:textId="77777777" w:rsidR="00485B58" w:rsidRPr="000A1716" w:rsidRDefault="00485B58" w:rsidP="00485B58">
      <w:pPr>
        <w:pStyle w:val="Header1"/>
        <w:pBdr>
          <w:bottom w:val="none" w:sz="0" w:space="0" w:color="auto"/>
        </w:pBdr>
        <w:tabs>
          <w:tab w:val="clear" w:pos="4320"/>
          <w:tab w:val="clear" w:pos="9360"/>
        </w:tabs>
        <w:rPr>
          <w:rFonts w:ascii="Times New Roman" w:hAnsi="Times New Roman"/>
          <w:b w:val="0"/>
          <w:bCs/>
          <w:kern w:val="16"/>
          <w:sz w:val="22"/>
          <w:szCs w:val="22"/>
        </w:rPr>
      </w:pPr>
    </w:p>
    <w:p w14:paraId="66266F12" w14:textId="3A18BA64" w:rsidR="00485B58" w:rsidRPr="000A1716" w:rsidRDefault="00485B58" w:rsidP="00485B58">
      <w:pPr>
        <w:pStyle w:val="Header1"/>
        <w:pBdr>
          <w:bottom w:val="none" w:sz="0" w:space="0" w:color="auto"/>
        </w:pBdr>
        <w:tabs>
          <w:tab w:val="clear" w:pos="4320"/>
          <w:tab w:val="clear" w:pos="9360"/>
        </w:tabs>
        <w:rPr>
          <w:rFonts w:ascii="Times New Roman" w:hAnsi="Times New Roman"/>
          <w:b w:val="0"/>
          <w:bCs/>
          <w:kern w:val="16"/>
          <w:sz w:val="22"/>
          <w:szCs w:val="22"/>
        </w:rPr>
      </w:pPr>
      <w:r w:rsidRPr="000A1716">
        <w:rPr>
          <w:rFonts w:ascii="Times New Roman" w:hAnsi="Times New Roman"/>
          <w:b w:val="0"/>
          <w:bCs/>
          <w:kern w:val="16"/>
          <w:sz w:val="22"/>
          <w:szCs w:val="22"/>
        </w:rPr>
        <w:t>Attached to and m</w:t>
      </w:r>
      <w:bookmarkStart w:id="0" w:name="_GoBack"/>
      <w:bookmarkEnd w:id="0"/>
      <w:r w:rsidRPr="000A1716">
        <w:rPr>
          <w:rFonts w:ascii="Times New Roman" w:hAnsi="Times New Roman"/>
          <w:b w:val="0"/>
          <w:bCs/>
          <w:kern w:val="16"/>
          <w:sz w:val="22"/>
          <w:szCs w:val="22"/>
        </w:rPr>
        <w:t>ade a part of Policy No.______________________</w:t>
      </w:r>
    </w:p>
    <w:p w14:paraId="17E91719" w14:textId="77777777" w:rsidR="009977B3" w:rsidRPr="000A1716" w:rsidRDefault="009977B3" w:rsidP="00EF79A1">
      <w:pPr>
        <w:jc w:val="both"/>
        <w:rPr>
          <w:kern w:val="16"/>
          <w:sz w:val="22"/>
          <w:szCs w:val="22"/>
        </w:rPr>
      </w:pPr>
    </w:p>
    <w:p w14:paraId="6AE70A13" w14:textId="24F794F6" w:rsidR="003546AD" w:rsidRPr="000A1716" w:rsidRDefault="003546AD" w:rsidP="00EF79A1">
      <w:pPr>
        <w:ind w:left="720" w:hanging="720"/>
        <w:jc w:val="both"/>
        <w:rPr>
          <w:sz w:val="22"/>
          <w:szCs w:val="22"/>
        </w:rPr>
      </w:pPr>
      <w:r w:rsidRPr="000A1716">
        <w:rPr>
          <w:sz w:val="22"/>
          <w:szCs w:val="22"/>
        </w:rPr>
        <w:t>1.</w:t>
      </w:r>
      <w:r w:rsidRPr="000A1716">
        <w:rPr>
          <w:sz w:val="22"/>
          <w:szCs w:val="22"/>
        </w:rPr>
        <w:tab/>
        <w:t>For purposes of this endorsement:</w:t>
      </w:r>
    </w:p>
    <w:p w14:paraId="491A7A28" w14:textId="77777777" w:rsidR="000A1716" w:rsidRPr="000A1716" w:rsidRDefault="000A1716" w:rsidP="00EF79A1">
      <w:pPr>
        <w:ind w:left="720" w:hanging="720"/>
        <w:jc w:val="both"/>
        <w:rPr>
          <w:sz w:val="22"/>
          <w:szCs w:val="22"/>
        </w:rPr>
      </w:pPr>
    </w:p>
    <w:p w14:paraId="3C7A6B85" w14:textId="242E2DCD" w:rsidR="003546AD" w:rsidRPr="000A1716" w:rsidRDefault="003546AD" w:rsidP="00EF79A1">
      <w:pPr>
        <w:ind w:left="1440" w:hanging="720"/>
        <w:jc w:val="both"/>
        <w:rPr>
          <w:sz w:val="22"/>
          <w:szCs w:val="22"/>
        </w:rPr>
      </w:pPr>
      <w:r w:rsidRPr="000A1716">
        <w:rPr>
          <w:sz w:val="22"/>
          <w:szCs w:val="22"/>
        </w:rPr>
        <w:t>a.</w:t>
      </w:r>
      <w:r w:rsidRPr="000A1716">
        <w:rPr>
          <w:sz w:val="22"/>
          <w:szCs w:val="22"/>
        </w:rPr>
        <w:tab/>
        <w:t>“Improvement”: A building located on the Land at the Date of Policy.</w:t>
      </w:r>
    </w:p>
    <w:p w14:paraId="3F7BA775" w14:textId="02910D4B" w:rsidR="003546AD" w:rsidRPr="000A1716" w:rsidRDefault="003546AD" w:rsidP="00EF79A1">
      <w:pPr>
        <w:ind w:left="1440" w:hanging="720"/>
        <w:jc w:val="both"/>
        <w:rPr>
          <w:sz w:val="22"/>
          <w:szCs w:val="22"/>
        </w:rPr>
      </w:pPr>
      <w:r w:rsidRPr="000A1716">
        <w:rPr>
          <w:sz w:val="22"/>
          <w:szCs w:val="22"/>
        </w:rPr>
        <w:t>b.</w:t>
      </w:r>
      <w:r w:rsidRPr="000A1716">
        <w:rPr>
          <w:sz w:val="22"/>
          <w:szCs w:val="22"/>
        </w:rPr>
        <w:tab/>
        <w:t>“Non-Conforming Use”: The use of the Land described in Section 2.a. existing at the Date of Policy and before the Zoning Ordinance was enacted, although the use is not authorized in the Zoning Ordinance.</w:t>
      </w:r>
    </w:p>
    <w:p w14:paraId="05D3FAB1" w14:textId="3C784BCB" w:rsidR="003546AD" w:rsidRPr="000A1716" w:rsidRDefault="003546AD" w:rsidP="00EF79A1">
      <w:pPr>
        <w:ind w:left="1440" w:hanging="720"/>
        <w:jc w:val="both"/>
        <w:rPr>
          <w:sz w:val="22"/>
          <w:szCs w:val="22"/>
        </w:rPr>
      </w:pPr>
      <w:r w:rsidRPr="000A1716">
        <w:rPr>
          <w:sz w:val="22"/>
          <w:szCs w:val="22"/>
        </w:rPr>
        <w:t>c.</w:t>
      </w:r>
      <w:r w:rsidRPr="000A1716">
        <w:rPr>
          <w:sz w:val="22"/>
          <w:szCs w:val="22"/>
        </w:rPr>
        <w:tab/>
        <w:t xml:space="preserve">“Zoning Ordinance”: </w:t>
      </w:r>
      <w:r w:rsidR="00514262" w:rsidRPr="000A1716">
        <w:rPr>
          <w:sz w:val="22"/>
          <w:szCs w:val="22"/>
        </w:rPr>
        <w:t>A</w:t>
      </w:r>
      <w:r w:rsidRPr="000A1716">
        <w:rPr>
          <w:sz w:val="22"/>
          <w:szCs w:val="22"/>
        </w:rPr>
        <w:t xml:space="preserve"> municipal or county zoning ordinance or zoning regulation applicable to the Land at the Date of Policy.</w:t>
      </w:r>
    </w:p>
    <w:p w14:paraId="6427CEC1" w14:textId="77777777" w:rsidR="00E1613C" w:rsidRPr="000A1716" w:rsidRDefault="00E1613C" w:rsidP="00EF79A1">
      <w:pPr>
        <w:jc w:val="both"/>
        <w:rPr>
          <w:kern w:val="16"/>
          <w:sz w:val="22"/>
          <w:szCs w:val="22"/>
        </w:rPr>
      </w:pPr>
    </w:p>
    <w:p w14:paraId="6633B68D" w14:textId="17CD33BD" w:rsidR="00736FAF" w:rsidRPr="000A1716" w:rsidRDefault="003546AD" w:rsidP="00EF79A1">
      <w:pPr>
        <w:ind w:left="720" w:hanging="720"/>
        <w:jc w:val="both"/>
        <w:rPr>
          <w:kern w:val="16"/>
          <w:sz w:val="22"/>
          <w:szCs w:val="22"/>
        </w:rPr>
      </w:pPr>
      <w:r w:rsidRPr="000A1716">
        <w:rPr>
          <w:kern w:val="16"/>
          <w:sz w:val="22"/>
          <w:szCs w:val="22"/>
        </w:rPr>
        <w:t>2.</w:t>
      </w:r>
      <w:r w:rsidR="005B73E4" w:rsidRPr="000A1716">
        <w:rPr>
          <w:kern w:val="16"/>
          <w:sz w:val="22"/>
          <w:szCs w:val="22"/>
        </w:rPr>
        <w:tab/>
        <w:t xml:space="preserve">The Company insures against loss or damage sustained by the Insured </w:t>
      </w:r>
      <w:r w:rsidRPr="000A1716">
        <w:rPr>
          <w:kern w:val="16"/>
          <w:sz w:val="22"/>
          <w:szCs w:val="22"/>
        </w:rPr>
        <w:t>resulting from:</w:t>
      </w:r>
    </w:p>
    <w:p w14:paraId="3646A005" w14:textId="77777777" w:rsidR="000A1716" w:rsidRPr="000A1716" w:rsidRDefault="000A1716" w:rsidP="00EF79A1">
      <w:pPr>
        <w:ind w:left="720" w:hanging="720"/>
        <w:jc w:val="both"/>
        <w:rPr>
          <w:kern w:val="16"/>
          <w:sz w:val="22"/>
          <w:szCs w:val="22"/>
        </w:rPr>
      </w:pPr>
    </w:p>
    <w:p w14:paraId="392DFAA3" w14:textId="53435D14" w:rsidR="005B73E4" w:rsidRPr="000A1716" w:rsidRDefault="003546AD" w:rsidP="00EF79A1">
      <w:pPr>
        <w:pStyle w:val="BodyTextIndent"/>
        <w:spacing w:line="240" w:lineRule="auto"/>
        <w:ind w:left="1440" w:hanging="720"/>
        <w:rPr>
          <w:rFonts w:ascii="Times New Roman" w:hAnsi="Times New Roman"/>
          <w:kern w:val="16"/>
          <w:sz w:val="22"/>
          <w:szCs w:val="22"/>
        </w:rPr>
      </w:pPr>
      <w:r w:rsidRPr="000A1716">
        <w:rPr>
          <w:rFonts w:ascii="Times New Roman" w:hAnsi="Times New Roman"/>
          <w:kern w:val="16"/>
          <w:sz w:val="22"/>
          <w:szCs w:val="22"/>
        </w:rPr>
        <w:t>a.</w:t>
      </w:r>
      <w:r w:rsidR="005B73E4" w:rsidRPr="000A1716">
        <w:rPr>
          <w:rFonts w:ascii="Times New Roman" w:hAnsi="Times New Roman"/>
          <w:kern w:val="16"/>
          <w:sz w:val="22"/>
          <w:szCs w:val="22"/>
        </w:rPr>
        <w:tab/>
      </w:r>
      <w:r w:rsidRPr="000A1716">
        <w:rPr>
          <w:rFonts w:ascii="Times New Roman" w:hAnsi="Times New Roman"/>
          <w:kern w:val="16"/>
          <w:sz w:val="22"/>
          <w:szCs w:val="22"/>
        </w:rPr>
        <w:t>T</w:t>
      </w:r>
      <w:r w:rsidR="005B73E4" w:rsidRPr="000A1716">
        <w:rPr>
          <w:rFonts w:ascii="Times New Roman" w:hAnsi="Times New Roman"/>
          <w:kern w:val="16"/>
          <w:sz w:val="22"/>
          <w:szCs w:val="22"/>
        </w:rPr>
        <w:t xml:space="preserve">he following </w:t>
      </w:r>
      <w:r w:rsidRPr="000A1716">
        <w:rPr>
          <w:rFonts w:ascii="Times New Roman" w:hAnsi="Times New Roman"/>
          <w:kern w:val="16"/>
          <w:sz w:val="22"/>
          <w:szCs w:val="22"/>
        </w:rPr>
        <w:t>Non-Conforming Use</w:t>
      </w:r>
      <w:r w:rsidR="005B73E4" w:rsidRPr="000A1716">
        <w:rPr>
          <w:rFonts w:ascii="Times New Roman" w:hAnsi="Times New Roman"/>
          <w:kern w:val="16"/>
          <w:sz w:val="22"/>
          <w:szCs w:val="22"/>
        </w:rPr>
        <w:t xml:space="preserve"> not </w:t>
      </w:r>
      <w:r w:rsidRPr="000A1716">
        <w:rPr>
          <w:rFonts w:ascii="Times New Roman" w:hAnsi="Times New Roman"/>
          <w:kern w:val="16"/>
          <w:sz w:val="22"/>
          <w:szCs w:val="22"/>
        </w:rPr>
        <w:t xml:space="preserve">being </w:t>
      </w:r>
      <w:r w:rsidR="005B73E4" w:rsidRPr="000A1716">
        <w:rPr>
          <w:rFonts w:ascii="Times New Roman" w:hAnsi="Times New Roman"/>
          <w:kern w:val="16"/>
          <w:sz w:val="22"/>
          <w:szCs w:val="22"/>
        </w:rPr>
        <w:t xml:space="preserve">allowed </w:t>
      </w:r>
      <w:r w:rsidR="004D1E1C" w:rsidRPr="000A1716">
        <w:rPr>
          <w:rFonts w:ascii="Times New Roman" w:hAnsi="Times New Roman"/>
          <w:kern w:val="16"/>
          <w:sz w:val="22"/>
          <w:szCs w:val="22"/>
        </w:rPr>
        <w:t xml:space="preserve">by the municipality or county </w:t>
      </w:r>
      <w:r w:rsidRPr="000A1716">
        <w:rPr>
          <w:rFonts w:ascii="Times New Roman" w:hAnsi="Times New Roman"/>
          <w:kern w:val="16"/>
          <w:sz w:val="22"/>
          <w:szCs w:val="22"/>
        </w:rPr>
        <w:t xml:space="preserve">because the Non-Conforming Use violates </w:t>
      </w:r>
      <w:r w:rsidR="00F2072C" w:rsidRPr="000A1716">
        <w:rPr>
          <w:rFonts w:ascii="Times New Roman" w:hAnsi="Times New Roman"/>
          <w:kern w:val="16"/>
          <w:sz w:val="22"/>
          <w:szCs w:val="22"/>
        </w:rPr>
        <w:t>a</w:t>
      </w:r>
      <w:r w:rsidRPr="000A1716">
        <w:rPr>
          <w:rFonts w:ascii="Times New Roman" w:hAnsi="Times New Roman"/>
          <w:kern w:val="16"/>
          <w:sz w:val="22"/>
          <w:szCs w:val="22"/>
        </w:rPr>
        <w:t xml:space="preserve"> Zoning Ordinance</w:t>
      </w:r>
      <w:r w:rsidR="005B73E4" w:rsidRPr="000A1716">
        <w:rPr>
          <w:rFonts w:ascii="Times New Roman" w:hAnsi="Times New Roman"/>
          <w:kern w:val="16"/>
          <w:sz w:val="22"/>
          <w:szCs w:val="22"/>
        </w:rPr>
        <w:t xml:space="preserve">: </w:t>
      </w:r>
    </w:p>
    <w:p w14:paraId="5A51A4D7" w14:textId="12D970CE" w:rsidR="009331C4" w:rsidRPr="000A1716" w:rsidRDefault="009331C4" w:rsidP="000A1716">
      <w:pPr>
        <w:pStyle w:val="BodyTextIndent"/>
        <w:spacing w:before="60" w:after="120" w:line="240" w:lineRule="auto"/>
        <w:ind w:left="1440" w:hanging="720"/>
        <w:rPr>
          <w:rFonts w:ascii="Times New Roman" w:hAnsi="Times New Roman"/>
          <w:i/>
          <w:sz w:val="22"/>
          <w:szCs w:val="22"/>
        </w:rPr>
      </w:pPr>
      <w:r w:rsidRPr="000A1716">
        <w:rPr>
          <w:rFonts w:ascii="Times New Roman" w:hAnsi="Times New Roman"/>
          <w:i/>
          <w:sz w:val="22"/>
          <w:szCs w:val="22"/>
        </w:rPr>
        <w:tab/>
        <w:t xml:space="preserve">[DRAFTING INSTRUCTION: Describe the existing Non-Conforming Use] </w:t>
      </w:r>
    </w:p>
    <w:p w14:paraId="53C2E2B4" w14:textId="77777777" w:rsidR="00EF47C0" w:rsidRPr="000A1716" w:rsidRDefault="00EF47C0" w:rsidP="00EF47C0">
      <w:pPr>
        <w:pStyle w:val="BodyTextIndent"/>
        <w:spacing w:before="60" w:after="120" w:line="240" w:lineRule="auto"/>
        <w:ind w:left="1440" w:firstLine="0"/>
        <w:rPr>
          <w:rFonts w:ascii="Times New Roman" w:hAnsi="Times New Roman"/>
          <w:i/>
          <w:sz w:val="22"/>
          <w:szCs w:val="22"/>
        </w:rPr>
      </w:pPr>
    </w:p>
    <w:p w14:paraId="3B514DAF" w14:textId="7FD7498C" w:rsidR="005B73E4" w:rsidRPr="000A1716" w:rsidRDefault="009331C4" w:rsidP="00EF79A1">
      <w:pPr>
        <w:pStyle w:val="BodyText"/>
        <w:spacing w:line="240" w:lineRule="auto"/>
        <w:ind w:left="1440" w:hanging="720"/>
        <w:rPr>
          <w:rFonts w:ascii="Times New Roman" w:hAnsi="Times New Roman"/>
          <w:kern w:val="16"/>
          <w:sz w:val="22"/>
          <w:szCs w:val="22"/>
        </w:rPr>
      </w:pPr>
      <w:r w:rsidRPr="000A1716">
        <w:rPr>
          <w:rFonts w:ascii="Times New Roman" w:hAnsi="Times New Roman"/>
          <w:kern w:val="16"/>
          <w:sz w:val="22"/>
          <w:szCs w:val="22"/>
        </w:rPr>
        <w:t>b.</w:t>
      </w:r>
      <w:r w:rsidR="00736FAF" w:rsidRPr="000A1716">
        <w:rPr>
          <w:rFonts w:ascii="Times New Roman" w:hAnsi="Times New Roman"/>
          <w:kern w:val="16"/>
          <w:sz w:val="22"/>
          <w:szCs w:val="22"/>
        </w:rPr>
        <w:tab/>
      </w:r>
      <w:r w:rsidRPr="000A1716">
        <w:rPr>
          <w:rFonts w:ascii="Times New Roman" w:hAnsi="Times New Roman"/>
          <w:kern w:val="16"/>
          <w:sz w:val="22"/>
          <w:szCs w:val="22"/>
        </w:rPr>
        <w:t>A</w:t>
      </w:r>
      <w:r w:rsidR="005B73E4" w:rsidRPr="000A1716">
        <w:rPr>
          <w:rFonts w:ascii="Times New Roman" w:hAnsi="Times New Roman"/>
          <w:kern w:val="16"/>
          <w:sz w:val="22"/>
          <w:szCs w:val="22"/>
        </w:rPr>
        <w:t xml:space="preserve"> final decree of a court of competent jurisdiction</w:t>
      </w:r>
      <w:r w:rsidR="00682BE9" w:rsidRPr="000A1716">
        <w:rPr>
          <w:rFonts w:ascii="Times New Roman" w:hAnsi="Times New Roman"/>
          <w:kern w:val="16"/>
          <w:sz w:val="22"/>
          <w:szCs w:val="22"/>
        </w:rPr>
        <w:t xml:space="preserve"> </w:t>
      </w:r>
      <w:r w:rsidR="00C348C7" w:rsidRPr="000A1716">
        <w:rPr>
          <w:rFonts w:ascii="Times New Roman" w:hAnsi="Times New Roman"/>
          <w:kern w:val="16"/>
          <w:sz w:val="22"/>
          <w:szCs w:val="22"/>
        </w:rPr>
        <w:t xml:space="preserve">either </w:t>
      </w:r>
      <w:r w:rsidR="0040750A" w:rsidRPr="000A1716">
        <w:rPr>
          <w:rFonts w:ascii="Times New Roman" w:hAnsi="Times New Roman"/>
          <w:kern w:val="16"/>
          <w:sz w:val="22"/>
          <w:szCs w:val="22"/>
        </w:rPr>
        <w:t>p</w:t>
      </w:r>
      <w:r w:rsidR="005B73E4" w:rsidRPr="000A1716">
        <w:rPr>
          <w:rFonts w:ascii="Times New Roman" w:hAnsi="Times New Roman"/>
          <w:kern w:val="16"/>
          <w:sz w:val="22"/>
          <w:szCs w:val="22"/>
        </w:rPr>
        <w:t xml:space="preserve">rohibiting the </w:t>
      </w:r>
      <w:r w:rsidR="00730CAE" w:rsidRPr="000A1716">
        <w:rPr>
          <w:rFonts w:ascii="Times New Roman" w:hAnsi="Times New Roman"/>
          <w:kern w:val="16"/>
          <w:sz w:val="22"/>
          <w:szCs w:val="22"/>
        </w:rPr>
        <w:t xml:space="preserve">Non-Conforming Use </w:t>
      </w:r>
      <w:r w:rsidR="005B73E4" w:rsidRPr="000A1716">
        <w:rPr>
          <w:rFonts w:ascii="Times New Roman" w:hAnsi="Times New Roman"/>
          <w:kern w:val="16"/>
          <w:sz w:val="22"/>
          <w:szCs w:val="22"/>
        </w:rPr>
        <w:t>or</w:t>
      </w:r>
      <w:r w:rsidR="00682BE9" w:rsidRPr="000A1716">
        <w:rPr>
          <w:rFonts w:ascii="Times New Roman" w:hAnsi="Times New Roman"/>
          <w:kern w:val="16"/>
          <w:sz w:val="22"/>
          <w:szCs w:val="22"/>
        </w:rPr>
        <w:t xml:space="preserve"> </w:t>
      </w:r>
      <w:r w:rsidR="005B73E4" w:rsidRPr="000A1716">
        <w:rPr>
          <w:rFonts w:ascii="Times New Roman" w:hAnsi="Times New Roman"/>
          <w:kern w:val="16"/>
          <w:sz w:val="22"/>
          <w:szCs w:val="22"/>
        </w:rPr>
        <w:t xml:space="preserve">requiring the removal or alteration of the </w:t>
      </w:r>
      <w:r w:rsidR="00730CAE" w:rsidRPr="000A1716">
        <w:rPr>
          <w:rFonts w:ascii="Times New Roman" w:hAnsi="Times New Roman"/>
          <w:kern w:val="16"/>
          <w:sz w:val="22"/>
          <w:szCs w:val="22"/>
        </w:rPr>
        <w:t>Improvement</w:t>
      </w:r>
      <w:r w:rsidR="00682BE9" w:rsidRPr="000A1716">
        <w:rPr>
          <w:rFonts w:ascii="Times New Roman" w:hAnsi="Times New Roman"/>
          <w:kern w:val="16"/>
          <w:sz w:val="22"/>
          <w:szCs w:val="22"/>
        </w:rPr>
        <w:t xml:space="preserve"> </w:t>
      </w:r>
      <w:r w:rsidR="005738B2" w:rsidRPr="000A1716">
        <w:rPr>
          <w:rFonts w:ascii="Times New Roman" w:hAnsi="Times New Roman"/>
          <w:kern w:val="16"/>
          <w:sz w:val="22"/>
          <w:szCs w:val="22"/>
        </w:rPr>
        <w:t>because</w:t>
      </w:r>
      <w:r w:rsidR="00682BE9" w:rsidRPr="000A1716">
        <w:rPr>
          <w:rFonts w:ascii="Times New Roman" w:hAnsi="Times New Roman"/>
          <w:kern w:val="16"/>
          <w:sz w:val="22"/>
          <w:szCs w:val="22"/>
        </w:rPr>
        <w:t xml:space="preserve">, </w:t>
      </w:r>
      <w:r w:rsidR="005B73E4" w:rsidRPr="000A1716">
        <w:rPr>
          <w:rFonts w:ascii="Times New Roman" w:hAnsi="Times New Roman"/>
          <w:kern w:val="16"/>
          <w:sz w:val="22"/>
          <w:szCs w:val="22"/>
        </w:rPr>
        <w:t xml:space="preserve">at </w:t>
      </w:r>
      <w:r w:rsidR="00730CAE" w:rsidRPr="000A1716">
        <w:rPr>
          <w:rFonts w:ascii="Times New Roman" w:hAnsi="Times New Roman"/>
          <w:kern w:val="16"/>
          <w:sz w:val="22"/>
          <w:szCs w:val="22"/>
        </w:rPr>
        <w:t xml:space="preserve">the </w:t>
      </w:r>
      <w:r w:rsidR="005B73E4" w:rsidRPr="000A1716">
        <w:rPr>
          <w:rFonts w:ascii="Times New Roman" w:hAnsi="Times New Roman"/>
          <w:kern w:val="16"/>
          <w:sz w:val="22"/>
          <w:szCs w:val="22"/>
        </w:rPr>
        <w:t xml:space="preserve">Date of Policy, </w:t>
      </w:r>
      <w:r w:rsidR="00730CAE" w:rsidRPr="000A1716">
        <w:rPr>
          <w:rFonts w:ascii="Times New Roman" w:hAnsi="Times New Roman"/>
          <w:kern w:val="16"/>
          <w:sz w:val="22"/>
          <w:szCs w:val="22"/>
        </w:rPr>
        <w:t>the Non</w:t>
      </w:r>
      <w:r w:rsidR="00EF79A1" w:rsidRPr="000A1716">
        <w:rPr>
          <w:rFonts w:ascii="Times New Roman" w:hAnsi="Times New Roman"/>
          <w:kern w:val="16"/>
          <w:sz w:val="22"/>
          <w:szCs w:val="22"/>
        </w:rPr>
        <w:noBreakHyphen/>
      </w:r>
      <w:r w:rsidR="00730CAE" w:rsidRPr="000A1716">
        <w:rPr>
          <w:rFonts w:ascii="Times New Roman" w:hAnsi="Times New Roman"/>
          <w:kern w:val="16"/>
          <w:sz w:val="22"/>
          <w:szCs w:val="22"/>
        </w:rPr>
        <w:t xml:space="preserve">Conforming Use violates </w:t>
      </w:r>
      <w:r w:rsidR="004F7F2D" w:rsidRPr="000A1716">
        <w:rPr>
          <w:rFonts w:ascii="Times New Roman" w:hAnsi="Times New Roman"/>
          <w:kern w:val="16"/>
          <w:sz w:val="22"/>
          <w:szCs w:val="22"/>
        </w:rPr>
        <w:t>a</w:t>
      </w:r>
      <w:r w:rsidR="00730CAE" w:rsidRPr="000A1716">
        <w:rPr>
          <w:rFonts w:ascii="Times New Roman" w:hAnsi="Times New Roman"/>
          <w:kern w:val="16"/>
          <w:sz w:val="22"/>
          <w:szCs w:val="22"/>
        </w:rPr>
        <w:t xml:space="preserve"> Zoning Ordinance</w:t>
      </w:r>
      <w:r w:rsidR="005B73E4" w:rsidRPr="000A1716">
        <w:rPr>
          <w:rFonts w:ascii="Times New Roman" w:hAnsi="Times New Roman"/>
          <w:kern w:val="16"/>
          <w:sz w:val="22"/>
          <w:szCs w:val="22"/>
        </w:rPr>
        <w:t xml:space="preserve"> with respect to any of the following matters:</w:t>
      </w:r>
    </w:p>
    <w:p w14:paraId="391DF9E8" w14:textId="1A43E245" w:rsidR="009977B3" w:rsidRPr="000A1716" w:rsidRDefault="00730CAE" w:rsidP="00EF79A1">
      <w:pPr>
        <w:ind w:left="2160" w:hanging="720"/>
        <w:jc w:val="both"/>
        <w:rPr>
          <w:kern w:val="16"/>
          <w:sz w:val="22"/>
          <w:szCs w:val="22"/>
        </w:rPr>
      </w:pPr>
      <w:r w:rsidRPr="000A1716">
        <w:rPr>
          <w:kern w:val="16"/>
          <w:sz w:val="22"/>
          <w:szCs w:val="22"/>
        </w:rPr>
        <w:t>i.</w:t>
      </w:r>
      <w:r w:rsidR="00736FAF" w:rsidRPr="000A1716">
        <w:rPr>
          <w:kern w:val="16"/>
          <w:sz w:val="22"/>
          <w:szCs w:val="22"/>
        </w:rPr>
        <w:tab/>
      </w:r>
      <w:r w:rsidRPr="000A1716">
        <w:rPr>
          <w:kern w:val="16"/>
          <w:sz w:val="22"/>
          <w:szCs w:val="22"/>
        </w:rPr>
        <w:t>The a</w:t>
      </w:r>
      <w:r w:rsidR="005B73E4" w:rsidRPr="000A1716">
        <w:rPr>
          <w:kern w:val="16"/>
          <w:sz w:val="22"/>
          <w:szCs w:val="22"/>
        </w:rPr>
        <w:t xml:space="preserve">rea, width, or depth of the Land as a building site for the </w:t>
      </w:r>
      <w:r w:rsidRPr="000A1716">
        <w:rPr>
          <w:kern w:val="16"/>
          <w:sz w:val="22"/>
          <w:szCs w:val="22"/>
        </w:rPr>
        <w:t>Improvement;</w:t>
      </w:r>
    </w:p>
    <w:p w14:paraId="4E09101F" w14:textId="0A20A650" w:rsidR="009977B3" w:rsidRPr="000A1716" w:rsidRDefault="00730CAE" w:rsidP="00EF79A1">
      <w:pPr>
        <w:ind w:left="2160" w:hanging="720"/>
        <w:jc w:val="both"/>
        <w:rPr>
          <w:kern w:val="16"/>
          <w:sz w:val="22"/>
          <w:szCs w:val="22"/>
        </w:rPr>
      </w:pPr>
      <w:r w:rsidRPr="000A1716">
        <w:rPr>
          <w:kern w:val="16"/>
          <w:sz w:val="22"/>
          <w:szCs w:val="22"/>
        </w:rPr>
        <w:t>ii.</w:t>
      </w:r>
      <w:r w:rsidR="00736FAF" w:rsidRPr="000A1716">
        <w:rPr>
          <w:kern w:val="16"/>
          <w:sz w:val="22"/>
          <w:szCs w:val="22"/>
        </w:rPr>
        <w:tab/>
      </w:r>
      <w:r w:rsidRPr="000A1716">
        <w:rPr>
          <w:kern w:val="16"/>
          <w:sz w:val="22"/>
          <w:szCs w:val="22"/>
        </w:rPr>
        <w:t>The f</w:t>
      </w:r>
      <w:r w:rsidR="005B73E4" w:rsidRPr="000A1716">
        <w:rPr>
          <w:kern w:val="16"/>
          <w:sz w:val="22"/>
          <w:szCs w:val="22"/>
        </w:rPr>
        <w:t xml:space="preserve">loor space area of the </w:t>
      </w:r>
      <w:r w:rsidRPr="000A1716">
        <w:rPr>
          <w:kern w:val="16"/>
          <w:sz w:val="22"/>
          <w:szCs w:val="22"/>
        </w:rPr>
        <w:t>Improvement;</w:t>
      </w:r>
    </w:p>
    <w:p w14:paraId="4CBC631B" w14:textId="1E571AAB" w:rsidR="009977B3" w:rsidRPr="000A1716" w:rsidRDefault="00730CAE" w:rsidP="00EF79A1">
      <w:pPr>
        <w:ind w:left="2160" w:hanging="720"/>
        <w:jc w:val="both"/>
        <w:rPr>
          <w:kern w:val="16"/>
          <w:sz w:val="22"/>
          <w:szCs w:val="22"/>
        </w:rPr>
      </w:pPr>
      <w:r w:rsidRPr="000A1716">
        <w:rPr>
          <w:kern w:val="16"/>
          <w:sz w:val="22"/>
          <w:szCs w:val="22"/>
        </w:rPr>
        <w:t>iii.</w:t>
      </w:r>
      <w:r w:rsidR="00736FAF" w:rsidRPr="000A1716">
        <w:rPr>
          <w:kern w:val="16"/>
          <w:sz w:val="22"/>
          <w:szCs w:val="22"/>
        </w:rPr>
        <w:tab/>
      </w:r>
      <w:r w:rsidRPr="000A1716">
        <w:rPr>
          <w:kern w:val="16"/>
          <w:sz w:val="22"/>
          <w:szCs w:val="22"/>
        </w:rPr>
        <w:t>A s</w:t>
      </w:r>
      <w:r w:rsidR="005B73E4" w:rsidRPr="000A1716">
        <w:rPr>
          <w:kern w:val="16"/>
          <w:sz w:val="22"/>
          <w:szCs w:val="22"/>
        </w:rPr>
        <w:t xml:space="preserve">etback of the </w:t>
      </w:r>
      <w:r w:rsidRPr="000A1716">
        <w:rPr>
          <w:kern w:val="16"/>
          <w:sz w:val="22"/>
          <w:szCs w:val="22"/>
        </w:rPr>
        <w:t xml:space="preserve">Improvement </w:t>
      </w:r>
      <w:r w:rsidR="005B73E4" w:rsidRPr="000A1716">
        <w:rPr>
          <w:kern w:val="16"/>
          <w:sz w:val="22"/>
          <w:szCs w:val="22"/>
        </w:rPr>
        <w:t>from the property lines of the Land</w:t>
      </w:r>
      <w:r w:rsidRPr="000A1716">
        <w:rPr>
          <w:kern w:val="16"/>
          <w:sz w:val="22"/>
          <w:szCs w:val="22"/>
        </w:rPr>
        <w:t>;</w:t>
      </w:r>
    </w:p>
    <w:p w14:paraId="7232E796" w14:textId="51230CFD" w:rsidR="00736FAF" w:rsidRPr="000A1716" w:rsidRDefault="00730CAE" w:rsidP="00EF79A1">
      <w:pPr>
        <w:ind w:left="2160" w:hanging="720"/>
        <w:jc w:val="both"/>
        <w:rPr>
          <w:kern w:val="16"/>
          <w:sz w:val="22"/>
          <w:szCs w:val="22"/>
        </w:rPr>
      </w:pPr>
      <w:r w:rsidRPr="000A1716">
        <w:rPr>
          <w:kern w:val="16"/>
          <w:sz w:val="22"/>
          <w:szCs w:val="22"/>
        </w:rPr>
        <w:t>iv.</w:t>
      </w:r>
      <w:r w:rsidR="00736FAF" w:rsidRPr="000A1716">
        <w:rPr>
          <w:kern w:val="16"/>
          <w:sz w:val="22"/>
          <w:szCs w:val="22"/>
        </w:rPr>
        <w:tab/>
      </w:r>
      <w:r w:rsidRPr="000A1716">
        <w:rPr>
          <w:kern w:val="16"/>
          <w:sz w:val="22"/>
          <w:szCs w:val="22"/>
        </w:rPr>
        <w:t>The h</w:t>
      </w:r>
      <w:r w:rsidR="005B73E4" w:rsidRPr="000A1716">
        <w:rPr>
          <w:kern w:val="16"/>
          <w:sz w:val="22"/>
          <w:szCs w:val="22"/>
        </w:rPr>
        <w:t xml:space="preserve">eight of the </w:t>
      </w:r>
      <w:r w:rsidRPr="000A1716">
        <w:rPr>
          <w:kern w:val="16"/>
          <w:sz w:val="22"/>
          <w:szCs w:val="22"/>
        </w:rPr>
        <w:t>Improvement;</w:t>
      </w:r>
      <w:r w:rsidR="005B73E4" w:rsidRPr="000A1716">
        <w:rPr>
          <w:kern w:val="16"/>
          <w:sz w:val="22"/>
          <w:szCs w:val="22"/>
        </w:rPr>
        <w:t xml:space="preserve"> or</w:t>
      </w:r>
    </w:p>
    <w:p w14:paraId="25EB4B19" w14:textId="0FC72516" w:rsidR="005B73E4" w:rsidRPr="000A1716" w:rsidRDefault="00730CAE" w:rsidP="00EF79A1">
      <w:pPr>
        <w:ind w:left="2160" w:hanging="720"/>
        <w:jc w:val="both"/>
        <w:rPr>
          <w:kern w:val="16"/>
          <w:sz w:val="22"/>
          <w:szCs w:val="22"/>
        </w:rPr>
      </w:pPr>
      <w:r w:rsidRPr="000A1716">
        <w:rPr>
          <w:kern w:val="16"/>
          <w:sz w:val="22"/>
          <w:szCs w:val="22"/>
        </w:rPr>
        <w:t>v.</w:t>
      </w:r>
      <w:r w:rsidR="00736FAF" w:rsidRPr="000A1716">
        <w:rPr>
          <w:kern w:val="16"/>
          <w:sz w:val="22"/>
          <w:szCs w:val="22"/>
        </w:rPr>
        <w:tab/>
      </w:r>
      <w:r w:rsidRPr="000A1716">
        <w:rPr>
          <w:kern w:val="16"/>
          <w:sz w:val="22"/>
          <w:szCs w:val="22"/>
        </w:rPr>
        <w:t>The n</w:t>
      </w:r>
      <w:r w:rsidR="005B73E4" w:rsidRPr="000A1716">
        <w:rPr>
          <w:kern w:val="16"/>
          <w:sz w:val="22"/>
          <w:szCs w:val="22"/>
        </w:rPr>
        <w:t>umber of parking spaces.</w:t>
      </w:r>
    </w:p>
    <w:p w14:paraId="4EACBD3F" w14:textId="77777777" w:rsidR="005B73E4" w:rsidRPr="000A1716" w:rsidRDefault="005B73E4" w:rsidP="00EF79A1">
      <w:pPr>
        <w:ind w:left="720" w:hanging="720"/>
        <w:jc w:val="both"/>
        <w:rPr>
          <w:kern w:val="16"/>
          <w:sz w:val="22"/>
          <w:szCs w:val="22"/>
        </w:rPr>
      </w:pPr>
    </w:p>
    <w:p w14:paraId="53E4F872" w14:textId="3AC94862" w:rsidR="005B73E4" w:rsidRPr="000A1716" w:rsidRDefault="005B73E4" w:rsidP="00EF79A1">
      <w:pPr>
        <w:ind w:left="720" w:hanging="720"/>
        <w:jc w:val="both"/>
        <w:rPr>
          <w:sz w:val="22"/>
          <w:szCs w:val="22"/>
        </w:rPr>
      </w:pPr>
      <w:r w:rsidRPr="000A1716">
        <w:rPr>
          <w:kern w:val="16"/>
          <w:sz w:val="22"/>
          <w:szCs w:val="22"/>
        </w:rPr>
        <w:t>3.</w:t>
      </w:r>
      <w:r w:rsidRPr="000A1716">
        <w:rPr>
          <w:kern w:val="16"/>
          <w:sz w:val="22"/>
          <w:szCs w:val="22"/>
        </w:rPr>
        <w:tab/>
      </w:r>
      <w:r w:rsidR="006A6FFF" w:rsidRPr="000A1716">
        <w:rPr>
          <w:kern w:val="16"/>
          <w:sz w:val="22"/>
          <w:szCs w:val="22"/>
        </w:rPr>
        <w:t>Section 2</w:t>
      </w:r>
      <w:r w:rsidR="000A3306" w:rsidRPr="000A1716">
        <w:rPr>
          <w:kern w:val="16"/>
          <w:sz w:val="22"/>
          <w:szCs w:val="22"/>
        </w:rPr>
        <w:t xml:space="preserve"> </w:t>
      </w:r>
      <w:r w:rsidR="000A3306" w:rsidRPr="000A1716">
        <w:rPr>
          <w:sz w:val="22"/>
          <w:szCs w:val="22"/>
        </w:rPr>
        <w:t>does not insure against loss or damage and the Company will not pay costs, attorneys’ fees, or expenses resulting from:</w:t>
      </w:r>
    </w:p>
    <w:p w14:paraId="56EA9E42" w14:textId="77777777" w:rsidR="000A1716" w:rsidRPr="000A1716" w:rsidRDefault="000A1716" w:rsidP="00EF79A1">
      <w:pPr>
        <w:ind w:left="720" w:hanging="720"/>
        <w:jc w:val="both"/>
        <w:rPr>
          <w:sz w:val="22"/>
          <w:szCs w:val="22"/>
        </w:rPr>
      </w:pPr>
    </w:p>
    <w:p w14:paraId="67A8AB59" w14:textId="5DCE0405" w:rsidR="0098541E" w:rsidRPr="000A1716" w:rsidRDefault="000A3306" w:rsidP="00EF79A1">
      <w:pPr>
        <w:ind w:left="1440" w:hanging="720"/>
        <w:jc w:val="both"/>
        <w:rPr>
          <w:sz w:val="22"/>
          <w:szCs w:val="22"/>
        </w:rPr>
      </w:pPr>
      <w:r w:rsidRPr="000A1716">
        <w:rPr>
          <w:kern w:val="16"/>
          <w:sz w:val="22"/>
          <w:szCs w:val="22"/>
        </w:rPr>
        <w:t>a.</w:t>
      </w:r>
      <w:r w:rsidRPr="000A1716">
        <w:rPr>
          <w:kern w:val="16"/>
          <w:sz w:val="22"/>
          <w:szCs w:val="22"/>
        </w:rPr>
        <w:tab/>
      </w:r>
      <w:r w:rsidR="00B869AD" w:rsidRPr="000A1716">
        <w:rPr>
          <w:kern w:val="16"/>
          <w:sz w:val="22"/>
          <w:szCs w:val="22"/>
        </w:rPr>
        <w:t>The l</w:t>
      </w:r>
      <w:r w:rsidR="00291986" w:rsidRPr="000A1716">
        <w:rPr>
          <w:kern w:val="16"/>
          <w:sz w:val="22"/>
          <w:szCs w:val="22"/>
        </w:rPr>
        <w:t>ack of compliance</w:t>
      </w:r>
      <w:r w:rsidR="00913B0E" w:rsidRPr="000A1716">
        <w:rPr>
          <w:sz w:val="22"/>
          <w:szCs w:val="22"/>
        </w:rPr>
        <w:t xml:space="preserve"> </w:t>
      </w:r>
      <w:r w:rsidRPr="000A1716">
        <w:rPr>
          <w:sz w:val="22"/>
          <w:szCs w:val="22"/>
        </w:rPr>
        <w:t xml:space="preserve">with any condition, restriction, or requirement contained in </w:t>
      </w:r>
      <w:r w:rsidR="004F7F2D" w:rsidRPr="000A1716">
        <w:rPr>
          <w:sz w:val="22"/>
          <w:szCs w:val="22"/>
        </w:rPr>
        <w:t xml:space="preserve">a </w:t>
      </w:r>
      <w:r w:rsidRPr="000A1716">
        <w:rPr>
          <w:sz w:val="22"/>
          <w:szCs w:val="22"/>
        </w:rPr>
        <w:t>Zoning Ordinance</w:t>
      </w:r>
      <w:r w:rsidR="005E26E9" w:rsidRPr="000A1716">
        <w:rPr>
          <w:sz w:val="22"/>
          <w:szCs w:val="22"/>
        </w:rPr>
        <w:t xml:space="preserve"> </w:t>
      </w:r>
      <w:r w:rsidR="00E40938" w:rsidRPr="000A1716">
        <w:rPr>
          <w:sz w:val="22"/>
          <w:szCs w:val="22"/>
        </w:rPr>
        <w:t>regarding the continuation or maintenance of the Non-Conforming Use</w:t>
      </w:r>
      <w:r w:rsidR="003154FB" w:rsidRPr="000A1716">
        <w:rPr>
          <w:sz w:val="22"/>
          <w:szCs w:val="22"/>
        </w:rPr>
        <w:t>;</w:t>
      </w:r>
    </w:p>
    <w:p w14:paraId="5A82062F" w14:textId="4DF8E85D" w:rsidR="000A3306" w:rsidRPr="000A1716" w:rsidRDefault="0098541E" w:rsidP="00EF79A1">
      <w:pPr>
        <w:ind w:left="1440" w:hanging="720"/>
        <w:jc w:val="both"/>
        <w:rPr>
          <w:kern w:val="16"/>
          <w:sz w:val="22"/>
          <w:szCs w:val="22"/>
        </w:rPr>
      </w:pPr>
      <w:r w:rsidRPr="000A1716">
        <w:rPr>
          <w:sz w:val="22"/>
          <w:szCs w:val="22"/>
        </w:rPr>
        <w:t>b.</w:t>
      </w:r>
      <w:r w:rsidRPr="000A1716">
        <w:rPr>
          <w:sz w:val="22"/>
          <w:szCs w:val="22"/>
        </w:rPr>
        <w:tab/>
        <w:t>T</w:t>
      </w:r>
      <w:r w:rsidR="000A3306" w:rsidRPr="000A1716">
        <w:rPr>
          <w:sz w:val="22"/>
          <w:szCs w:val="22"/>
        </w:rPr>
        <w:t xml:space="preserve">he failure to secure necessary consents or authorizations </w:t>
      </w:r>
      <w:bookmarkStart w:id="1" w:name="_Hlk521686138"/>
      <w:r w:rsidR="000A3306" w:rsidRPr="000A1716">
        <w:rPr>
          <w:sz w:val="22"/>
          <w:szCs w:val="22"/>
        </w:rPr>
        <w:t>as a condition for continuing the Non</w:t>
      </w:r>
      <w:r w:rsidR="00B869AD" w:rsidRPr="000A1716">
        <w:rPr>
          <w:sz w:val="22"/>
          <w:szCs w:val="22"/>
        </w:rPr>
        <w:noBreakHyphen/>
      </w:r>
      <w:r w:rsidR="000A3306" w:rsidRPr="000A1716">
        <w:rPr>
          <w:sz w:val="22"/>
          <w:szCs w:val="22"/>
        </w:rPr>
        <w:t>Conforming Use</w:t>
      </w:r>
      <w:bookmarkEnd w:id="1"/>
      <w:r w:rsidR="000A3306" w:rsidRPr="000A1716">
        <w:rPr>
          <w:sz w:val="22"/>
          <w:szCs w:val="22"/>
        </w:rPr>
        <w:t>;</w:t>
      </w:r>
    </w:p>
    <w:p w14:paraId="701CC4CB" w14:textId="20E55A28" w:rsidR="00B75752" w:rsidRPr="000A1716" w:rsidRDefault="0098541E" w:rsidP="00EF79A1">
      <w:pPr>
        <w:pStyle w:val="BodyTextIndent"/>
        <w:spacing w:line="240" w:lineRule="auto"/>
        <w:ind w:left="1440" w:hanging="720"/>
        <w:rPr>
          <w:rFonts w:ascii="Times New Roman" w:hAnsi="Times New Roman"/>
          <w:kern w:val="16"/>
          <w:sz w:val="22"/>
          <w:szCs w:val="22"/>
        </w:rPr>
      </w:pPr>
      <w:r w:rsidRPr="000A1716">
        <w:rPr>
          <w:rFonts w:ascii="Times New Roman" w:hAnsi="Times New Roman"/>
          <w:kern w:val="16"/>
          <w:sz w:val="22"/>
          <w:szCs w:val="22"/>
        </w:rPr>
        <w:t>c</w:t>
      </w:r>
      <w:r w:rsidR="000A3306" w:rsidRPr="000A1716">
        <w:rPr>
          <w:rFonts w:ascii="Times New Roman" w:hAnsi="Times New Roman"/>
          <w:kern w:val="16"/>
          <w:sz w:val="22"/>
          <w:szCs w:val="22"/>
        </w:rPr>
        <w:t>.</w:t>
      </w:r>
      <w:r w:rsidR="005B73E4" w:rsidRPr="000A1716">
        <w:rPr>
          <w:rFonts w:ascii="Times New Roman" w:hAnsi="Times New Roman"/>
          <w:kern w:val="16"/>
          <w:sz w:val="22"/>
          <w:szCs w:val="22"/>
        </w:rPr>
        <w:tab/>
      </w:r>
      <w:r w:rsidR="000A3306" w:rsidRPr="000A1716">
        <w:rPr>
          <w:rFonts w:ascii="Times New Roman" w:hAnsi="Times New Roman"/>
          <w:sz w:val="22"/>
          <w:szCs w:val="22"/>
        </w:rPr>
        <w:t>T</w:t>
      </w:r>
      <w:r w:rsidR="005B73E4" w:rsidRPr="000A1716">
        <w:rPr>
          <w:rFonts w:ascii="Times New Roman" w:hAnsi="Times New Roman"/>
          <w:sz w:val="22"/>
          <w:szCs w:val="22"/>
        </w:rPr>
        <w:t xml:space="preserve">he invalidity of </w:t>
      </w:r>
      <w:r w:rsidR="004F7F2D" w:rsidRPr="000A1716">
        <w:rPr>
          <w:rFonts w:ascii="Times New Roman" w:hAnsi="Times New Roman"/>
          <w:sz w:val="22"/>
          <w:szCs w:val="22"/>
        </w:rPr>
        <w:t xml:space="preserve">a </w:t>
      </w:r>
      <w:r w:rsidR="000A3306" w:rsidRPr="000A1716">
        <w:rPr>
          <w:rFonts w:ascii="Times New Roman" w:hAnsi="Times New Roman"/>
          <w:sz w:val="22"/>
          <w:szCs w:val="22"/>
        </w:rPr>
        <w:t>Zoning Ordinance</w:t>
      </w:r>
      <w:r w:rsidR="005B73E4" w:rsidRPr="000A1716">
        <w:rPr>
          <w:rFonts w:ascii="Times New Roman" w:hAnsi="Times New Roman"/>
          <w:sz w:val="22"/>
          <w:szCs w:val="22"/>
        </w:rPr>
        <w:t>, the effect</w:t>
      </w:r>
      <w:r w:rsidR="005B73E4" w:rsidRPr="000A1716">
        <w:rPr>
          <w:rFonts w:ascii="Times New Roman" w:hAnsi="Times New Roman"/>
          <w:kern w:val="16"/>
          <w:sz w:val="22"/>
          <w:szCs w:val="22"/>
        </w:rPr>
        <w:t xml:space="preserve"> of which is to prohibit the </w:t>
      </w:r>
      <w:r w:rsidR="00B94CF1" w:rsidRPr="000A1716">
        <w:rPr>
          <w:rFonts w:ascii="Times New Roman" w:hAnsi="Times New Roman"/>
          <w:kern w:val="16"/>
          <w:sz w:val="22"/>
          <w:szCs w:val="22"/>
        </w:rPr>
        <w:t>Non-Conforming Use</w:t>
      </w:r>
      <w:r w:rsidR="005B73E4" w:rsidRPr="000A1716">
        <w:rPr>
          <w:rFonts w:ascii="Times New Roman" w:hAnsi="Times New Roman"/>
          <w:kern w:val="16"/>
          <w:sz w:val="22"/>
          <w:szCs w:val="22"/>
        </w:rPr>
        <w:t>;</w:t>
      </w:r>
    </w:p>
    <w:p w14:paraId="53F0ADAE" w14:textId="7906B89A" w:rsidR="00B75752" w:rsidRPr="000A1716" w:rsidRDefault="0098541E" w:rsidP="00EF79A1">
      <w:pPr>
        <w:pStyle w:val="BodyTextIndent"/>
        <w:spacing w:line="240" w:lineRule="auto"/>
        <w:ind w:left="1440" w:hanging="720"/>
        <w:rPr>
          <w:rFonts w:ascii="Times New Roman" w:hAnsi="Times New Roman"/>
          <w:sz w:val="22"/>
          <w:szCs w:val="22"/>
        </w:rPr>
      </w:pPr>
      <w:r w:rsidRPr="000A1716">
        <w:rPr>
          <w:rFonts w:ascii="Times New Roman" w:hAnsi="Times New Roman"/>
          <w:sz w:val="22"/>
          <w:szCs w:val="22"/>
        </w:rPr>
        <w:t>d</w:t>
      </w:r>
      <w:r w:rsidR="00B75752" w:rsidRPr="000A1716">
        <w:rPr>
          <w:rFonts w:ascii="Times New Roman" w:hAnsi="Times New Roman"/>
          <w:sz w:val="22"/>
          <w:szCs w:val="22"/>
        </w:rPr>
        <w:t>.</w:t>
      </w:r>
      <w:r w:rsidR="00B75752" w:rsidRPr="000A1716">
        <w:rPr>
          <w:rFonts w:ascii="Times New Roman" w:hAnsi="Times New Roman"/>
          <w:sz w:val="22"/>
          <w:szCs w:val="22"/>
        </w:rPr>
        <w:tab/>
        <w:t xml:space="preserve">Any change, cessation, abandonment, or replacement of the Non-Conforming Use or an Improvement; </w:t>
      </w:r>
    </w:p>
    <w:p w14:paraId="5343C440" w14:textId="0011461C" w:rsidR="00B75752" w:rsidRPr="000A1716" w:rsidRDefault="0098541E" w:rsidP="00EF79A1">
      <w:pPr>
        <w:pStyle w:val="BodyTextIndent"/>
        <w:spacing w:line="240" w:lineRule="auto"/>
        <w:ind w:left="1440" w:hanging="720"/>
        <w:rPr>
          <w:rFonts w:ascii="Times New Roman" w:hAnsi="Times New Roman"/>
          <w:sz w:val="22"/>
          <w:szCs w:val="22"/>
        </w:rPr>
      </w:pPr>
      <w:r w:rsidRPr="000A1716">
        <w:rPr>
          <w:rFonts w:ascii="Times New Roman" w:hAnsi="Times New Roman"/>
          <w:sz w:val="22"/>
          <w:szCs w:val="22"/>
        </w:rPr>
        <w:t>e</w:t>
      </w:r>
      <w:r w:rsidR="00B75752" w:rsidRPr="000A1716">
        <w:rPr>
          <w:rFonts w:ascii="Times New Roman" w:hAnsi="Times New Roman"/>
          <w:sz w:val="22"/>
          <w:szCs w:val="22"/>
        </w:rPr>
        <w:t>.</w:t>
      </w:r>
      <w:r w:rsidR="00B75752" w:rsidRPr="000A1716">
        <w:rPr>
          <w:rFonts w:ascii="Times New Roman" w:hAnsi="Times New Roman"/>
          <w:sz w:val="22"/>
          <w:szCs w:val="22"/>
        </w:rPr>
        <w:tab/>
        <w:t>A prohibition to restore an Improvement;</w:t>
      </w:r>
    </w:p>
    <w:p w14:paraId="69CCB57F" w14:textId="100E7485" w:rsidR="00B75752" w:rsidRPr="000A1716" w:rsidRDefault="0098541E" w:rsidP="00EF79A1">
      <w:pPr>
        <w:pStyle w:val="BodyTextIndent"/>
        <w:spacing w:line="240" w:lineRule="auto"/>
        <w:ind w:left="1440" w:hanging="720"/>
        <w:rPr>
          <w:rFonts w:ascii="Times New Roman" w:hAnsi="Times New Roman"/>
          <w:sz w:val="22"/>
          <w:szCs w:val="22"/>
        </w:rPr>
      </w:pPr>
      <w:r w:rsidRPr="000A1716">
        <w:rPr>
          <w:rFonts w:ascii="Times New Roman" w:hAnsi="Times New Roman"/>
          <w:sz w:val="22"/>
          <w:szCs w:val="22"/>
        </w:rPr>
        <w:t>f</w:t>
      </w:r>
      <w:r w:rsidR="00B75752" w:rsidRPr="000A1716">
        <w:rPr>
          <w:rFonts w:ascii="Times New Roman" w:hAnsi="Times New Roman"/>
          <w:sz w:val="22"/>
          <w:szCs w:val="22"/>
        </w:rPr>
        <w:t>.</w:t>
      </w:r>
      <w:r w:rsidR="00B75752" w:rsidRPr="000A1716">
        <w:rPr>
          <w:rFonts w:ascii="Times New Roman" w:hAnsi="Times New Roman"/>
          <w:sz w:val="22"/>
          <w:szCs w:val="22"/>
        </w:rPr>
        <w:tab/>
        <w:t xml:space="preserve">The violation </w:t>
      </w:r>
      <w:r w:rsidR="008E0E07" w:rsidRPr="000A1716">
        <w:rPr>
          <w:rFonts w:ascii="Times New Roman" w:hAnsi="Times New Roman"/>
          <w:sz w:val="22"/>
          <w:szCs w:val="22"/>
        </w:rPr>
        <w:t xml:space="preserve">of </w:t>
      </w:r>
      <w:r w:rsidR="00B75752" w:rsidRPr="000A1716">
        <w:rPr>
          <w:rFonts w:ascii="Times New Roman" w:hAnsi="Times New Roman"/>
          <w:sz w:val="22"/>
          <w:szCs w:val="22"/>
        </w:rPr>
        <w:t xml:space="preserve">or </w:t>
      </w:r>
      <w:r w:rsidR="009839E9" w:rsidRPr="000A1716">
        <w:rPr>
          <w:rFonts w:ascii="Times New Roman" w:hAnsi="Times New Roman"/>
          <w:sz w:val="22"/>
          <w:szCs w:val="22"/>
        </w:rPr>
        <w:t xml:space="preserve">the </w:t>
      </w:r>
      <w:r w:rsidR="008E0E07" w:rsidRPr="000A1716">
        <w:rPr>
          <w:rFonts w:ascii="Times New Roman" w:hAnsi="Times New Roman"/>
          <w:sz w:val="22"/>
          <w:szCs w:val="22"/>
        </w:rPr>
        <w:t>lack of compliance</w:t>
      </w:r>
      <w:r w:rsidR="00B75752" w:rsidRPr="000A1716">
        <w:rPr>
          <w:rFonts w:ascii="Times New Roman" w:hAnsi="Times New Roman"/>
          <w:sz w:val="22"/>
          <w:szCs w:val="22"/>
        </w:rPr>
        <w:t xml:space="preserve"> with any law</w:t>
      </w:r>
      <w:r w:rsidR="00EA65AA" w:rsidRPr="000A1716">
        <w:rPr>
          <w:rFonts w:ascii="Times New Roman" w:hAnsi="Times New Roman"/>
          <w:sz w:val="22"/>
          <w:szCs w:val="22"/>
        </w:rPr>
        <w:t>, order,</w:t>
      </w:r>
      <w:r w:rsidR="00B75752" w:rsidRPr="000A1716">
        <w:rPr>
          <w:rFonts w:ascii="Times New Roman" w:hAnsi="Times New Roman"/>
          <w:sz w:val="22"/>
          <w:szCs w:val="22"/>
        </w:rPr>
        <w:t xml:space="preserve"> or regulation regarding the continuation or maintenance of the Non-Conforming Use or an Improvement;</w:t>
      </w:r>
    </w:p>
    <w:p w14:paraId="121C1019" w14:textId="48957FC5" w:rsidR="005B73E4" w:rsidRPr="000A1716" w:rsidRDefault="0098541E" w:rsidP="00EF79A1">
      <w:pPr>
        <w:pStyle w:val="BodyTextIndent"/>
        <w:spacing w:line="240" w:lineRule="auto"/>
        <w:ind w:left="1440" w:hanging="720"/>
        <w:rPr>
          <w:rFonts w:ascii="Times New Roman" w:hAnsi="Times New Roman"/>
          <w:kern w:val="16"/>
          <w:sz w:val="22"/>
          <w:szCs w:val="22"/>
        </w:rPr>
      </w:pPr>
      <w:r w:rsidRPr="000A1716">
        <w:rPr>
          <w:rFonts w:ascii="Times New Roman" w:hAnsi="Times New Roman"/>
          <w:sz w:val="22"/>
          <w:szCs w:val="22"/>
        </w:rPr>
        <w:t>g</w:t>
      </w:r>
      <w:r w:rsidR="00B75752" w:rsidRPr="000A1716">
        <w:rPr>
          <w:rFonts w:ascii="Times New Roman" w:hAnsi="Times New Roman"/>
          <w:sz w:val="22"/>
          <w:szCs w:val="22"/>
        </w:rPr>
        <w:t>.</w:t>
      </w:r>
      <w:r w:rsidR="00B75752" w:rsidRPr="000A1716">
        <w:rPr>
          <w:rFonts w:ascii="Times New Roman" w:hAnsi="Times New Roman"/>
          <w:sz w:val="22"/>
          <w:szCs w:val="22"/>
        </w:rPr>
        <w:tab/>
        <w:t>Any law</w:t>
      </w:r>
      <w:r w:rsidR="002745D7" w:rsidRPr="000A1716">
        <w:rPr>
          <w:rFonts w:ascii="Times New Roman" w:hAnsi="Times New Roman"/>
          <w:sz w:val="22"/>
          <w:szCs w:val="22"/>
        </w:rPr>
        <w:t>, order,</w:t>
      </w:r>
      <w:r w:rsidR="00B75752" w:rsidRPr="000A1716">
        <w:rPr>
          <w:rFonts w:ascii="Times New Roman" w:hAnsi="Times New Roman"/>
          <w:sz w:val="22"/>
          <w:szCs w:val="22"/>
        </w:rPr>
        <w:t xml:space="preserve"> or regulation requiring the amortization, expiration, or elimination by passage of time of the Non-Conforming Use; or</w:t>
      </w:r>
      <w:r w:rsidR="005B73E4" w:rsidRPr="000A1716">
        <w:rPr>
          <w:rFonts w:ascii="Times New Roman" w:hAnsi="Times New Roman"/>
          <w:kern w:val="16"/>
          <w:sz w:val="22"/>
          <w:szCs w:val="22"/>
        </w:rPr>
        <w:t xml:space="preserve"> </w:t>
      </w:r>
    </w:p>
    <w:p w14:paraId="0854C11D" w14:textId="77777777" w:rsidR="001930AF" w:rsidRDefault="0098541E" w:rsidP="00EF79A1">
      <w:pPr>
        <w:ind w:left="1440" w:hanging="720"/>
        <w:jc w:val="both"/>
        <w:rPr>
          <w:kern w:val="16"/>
          <w:sz w:val="22"/>
          <w:szCs w:val="22"/>
        </w:rPr>
        <w:sectPr w:rsidR="001930AF" w:rsidSect="000A1716">
          <w:footerReference w:type="default" r:id="rId10"/>
          <w:pgSz w:w="12240" w:h="15840"/>
          <w:pgMar w:top="1440" w:right="1440" w:bottom="1440" w:left="1440" w:header="576" w:footer="576" w:gutter="0"/>
          <w:paperSrc w:first="15" w:other="15"/>
          <w:cols w:space="720"/>
          <w:docGrid w:linePitch="272"/>
        </w:sectPr>
      </w:pPr>
      <w:r w:rsidRPr="000A1716">
        <w:rPr>
          <w:kern w:val="16"/>
          <w:sz w:val="22"/>
          <w:szCs w:val="22"/>
        </w:rPr>
        <w:t>h</w:t>
      </w:r>
      <w:r w:rsidR="00B75752" w:rsidRPr="000A1716">
        <w:rPr>
          <w:kern w:val="16"/>
          <w:sz w:val="22"/>
          <w:szCs w:val="22"/>
        </w:rPr>
        <w:t>.</w:t>
      </w:r>
      <w:r w:rsidR="005B73E4" w:rsidRPr="000A1716">
        <w:rPr>
          <w:kern w:val="16"/>
          <w:sz w:val="22"/>
          <w:szCs w:val="22"/>
        </w:rPr>
        <w:tab/>
      </w:r>
      <w:r w:rsidR="002745D7" w:rsidRPr="000A1716">
        <w:rPr>
          <w:kern w:val="16"/>
          <w:sz w:val="22"/>
          <w:szCs w:val="22"/>
        </w:rPr>
        <w:t>Any</w:t>
      </w:r>
      <w:r w:rsidR="005B73E4" w:rsidRPr="000A1716">
        <w:rPr>
          <w:kern w:val="16"/>
          <w:sz w:val="22"/>
          <w:szCs w:val="22"/>
        </w:rPr>
        <w:t xml:space="preserve"> refusal to purchase, lease</w:t>
      </w:r>
      <w:r w:rsidR="001143AE" w:rsidRPr="000A1716">
        <w:rPr>
          <w:kern w:val="16"/>
          <w:sz w:val="22"/>
          <w:szCs w:val="22"/>
        </w:rPr>
        <w:t>,</w:t>
      </w:r>
      <w:r w:rsidR="005B73E4" w:rsidRPr="000A1716">
        <w:rPr>
          <w:kern w:val="16"/>
          <w:sz w:val="22"/>
          <w:szCs w:val="22"/>
        </w:rPr>
        <w:t xml:space="preserve"> or lend money on the Title.</w:t>
      </w:r>
    </w:p>
    <w:p w14:paraId="59A24B06" w14:textId="7DBAF4F8" w:rsidR="005B73E4" w:rsidRPr="000A1716" w:rsidRDefault="005B73E4" w:rsidP="00EF79A1">
      <w:pPr>
        <w:ind w:left="1440" w:hanging="720"/>
        <w:jc w:val="both"/>
        <w:rPr>
          <w:kern w:val="16"/>
          <w:sz w:val="22"/>
          <w:szCs w:val="22"/>
        </w:rPr>
      </w:pPr>
    </w:p>
    <w:p w14:paraId="22241FCC" w14:textId="233DA3E0" w:rsidR="005B73E4" w:rsidRPr="000A1716" w:rsidRDefault="005B73E4" w:rsidP="00EF79A1">
      <w:pPr>
        <w:jc w:val="both"/>
        <w:rPr>
          <w:color w:val="000000"/>
          <w:kern w:val="16"/>
          <w:sz w:val="22"/>
          <w:szCs w:val="22"/>
        </w:rPr>
      </w:pPr>
      <w:r w:rsidRPr="000A1716">
        <w:rPr>
          <w:color w:val="000000"/>
          <w:kern w:val="16"/>
          <w:sz w:val="22"/>
          <w:szCs w:val="22"/>
        </w:rPr>
        <w:t xml:space="preserve">This endorsement is </w:t>
      </w:r>
      <w:r w:rsidR="00F57985" w:rsidRPr="000A1716">
        <w:rPr>
          <w:color w:val="000000"/>
          <w:kern w:val="16"/>
          <w:sz w:val="22"/>
          <w:szCs w:val="22"/>
        </w:rPr>
        <w:t xml:space="preserve">issued as </w:t>
      </w:r>
      <w:r w:rsidRPr="000A1716">
        <w:rPr>
          <w:color w:val="000000"/>
          <w:kern w:val="16"/>
          <w:sz w:val="22"/>
          <w:szCs w:val="22"/>
        </w:rPr>
        <w:t xml:space="preserve">part of the policy. Except as </w:t>
      </w:r>
      <w:r w:rsidR="00B75752" w:rsidRPr="000A1716">
        <w:rPr>
          <w:color w:val="000000"/>
          <w:kern w:val="16"/>
          <w:sz w:val="22"/>
          <w:szCs w:val="22"/>
        </w:rPr>
        <w:t>this endorsement</w:t>
      </w:r>
      <w:r w:rsidRPr="000A1716">
        <w:rPr>
          <w:color w:val="000000"/>
          <w:kern w:val="16"/>
          <w:sz w:val="22"/>
          <w:szCs w:val="22"/>
        </w:rPr>
        <w:t xml:space="preserve"> expressly states, it does not (i) modify any of the terms and provisions of the policy, (ii) modify any prior endorsement, (iii) extend the Date of Policy</w:t>
      </w:r>
      <w:r w:rsidRPr="000A1716">
        <w:rPr>
          <w:kern w:val="16"/>
          <w:sz w:val="22"/>
          <w:szCs w:val="22"/>
        </w:rPr>
        <w:t>,</w:t>
      </w:r>
      <w:r w:rsidRPr="000A1716">
        <w:rPr>
          <w:color w:val="000000"/>
          <w:kern w:val="16"/>
          <w:sz w:val="22"/>
          <w:szCs w:val="22"/>
        </w:rPr>
        <w:t xml:space="preserve"> </w:t>
      </w:r>
      <w:r w:rsidR="00B75752" w:rsidRPr="000A1716">
        <w:rPr>
          <w:color w:val="000000"/>
          <w:kern w:val="16"/>
          <w:sz w:val="22"/>
          <w:szCs w:val="22"/>
        </w:rPr>
        <w:t xml:space="preserve">(iv) insure against loss or damage exceeding the Amount of Insurance, </w:t>
      </w:r>
      <w:r w:rsidRPr="000A1716">
        <w:rPr>
          <w:color w:val="000000"/>
          <w:kern w:val="16"/>
          <w:sz w:val="22"/>
          <w:szCs w:val="22"/>
        </w:rPr>
        <w:t xml:space="preserve">or (v) increase the Amount of Insurance. To the extent a provision of the policy or </w:t>
      </w:r>
      <w:r w:rsidR="00B75752" w:rsidRPr="000A1716">
        <w:rPr>
          <w:color w:val="000000"/>
          <w:kern w:val="16"/>
          <w:sz w:val="22"/>
          <w:szCs w:val="22"/>
        </w:rPr>
        <w:t xml:space="preserve">any prior </w:t>
      </w:r>
      <w:r w:rsidRPr="000A1716">
        <w:rPr>
          <w:color w:val="000000"/>
          <w:kern w:val="16"/>
          <w:sz w:val="22"/>
          <w:szCs w:val="22"/>
        </w:rPr>
        <w:t>endorsement is inconsistent with an express provision of this endorsement, this endorsement controls. Otherwise, this endorsement is subject to all of the terms and provisions of the policy and any prior endorsement.</w:t>
      </w:r>
    </w:p>
    <w:p w14:paraId="5EE4A74E" w14:textId="77777777" w:rsidR="00DB381F" w:rsidRPr="000A1716" w:rsidRDefault="00DB381F" w:rsidP="00EF79A1">
      <w:pPr>
        <w:widowControl w:val="0"/>
        <w:autoSpaceDE w:val="0"/>
        <w:autoSpaceDN w:val="0"/>
        <w:adjustRightInd w:val="0"/>
        <w:jc w:val="both"/>
        <w:rPr>
          <w:color w:val="000000"/>
          <w:kern w:val="16"/>
          <w:sz w:val="22"/>
          <w:szCs w:val="22"/>
        </w:rPr>
      </w:pPr>
    </w:p>
    <w:tbl>
      <w:tblPr>
        <w:tblW w:w="0" w:type="auto"/>
        <w:tblInd w:w="1368" w:type="dxa"/>
        <w:tblLook w:val="04A0" w:firstRow="1" w:lastRow="0" w:firstColumn="1" w:lastColumn="0" w:noHBand="0" w:noVBand="1"/>
      </w:tblPr>
      <w:tblGrid>
        <w:gridCol w:w="1800"/>
        <w:gridCol w:w="4500"/>
      </w:tblGrid>
      <w:tr w:rsidR="00095554" w:rsidRPr="000A1716" w14:paraId="4150A6BC" w14:textId="77777777" w:rsidTr="00810452">
        <w:tc>
          <w:tcPr>
            <w:tcW w:w="1800" w:type="dxa"/>
            <w:shd w:val="clear" w:color="auto" w:fill="auto"/>
          </w:tcPr>
          <w:p w14:paraId="4D0110DB" w14:textId="77777777" w:rsidR="00095554" w:rsidRPr="000A1716" w:rsidRDefault="00095554" w:rsidP="00810452">
            <w:pPr>
              <w:jc w:val="center"/>
              <w:rPr>
                <w:noProof/>
                <w:sz w:val="22"/>
                <w:szCs w:val="22"/>
              </w:rPr>
            </w:pPr>
          </w:p>
          <w:p w14:paraId="3CF0897C" w14:textId="1E2FC092" w:rsidR="00095554" w:rsidRPr="000A1716" w:rsidRDefault="00095554" w:rsidP="00810452">
            <w:pPr>
              <w:jc w:val="center"/>
              <w:rPr>
                <w:sz w:val="22"/>
                <w:szCs w:val="22"/>
              </w:rPr>
            </w:pPr>
            <w:r w:rsidRPr="000A1716">
              <w:rPr>
                <w:noProof/>
                <w:sz w:val="22"/>
                <w:szCs w:val="22"/>
              </w:rPr>
              <w:drawing>
                <wp:inline distT="0" distB="0" distL="0" distR="0" wp14:anchorId="0F964F0F" wp14:editId="1570A9D3">
                  <wp:extent cx="769620" cy="7543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9620" cy="754380"/>
                          </a:xfrm>
                          <a:prstGeom prst="rect">
                            <a:avLst/>
                          </a:prstGeom>
                          <a:noFill/>
                          <a:ln>
                            <a:noFill/>
                          </a:ln>
                        </pic:spPr>
                      </pic:pic>
                    </a:graphicData>
                  </a:graphic>
                </wp:inline>
              </w:drawing>
            </w:r>
          </w:p>
        </w:tc>
        <w:tc>
          <w:tcPr>
            <w:tcW w:w="4500" w:type="dxa"/>
            <w:shd w:val="clear" w:color="auto" w:fill="auto"/>
          </w:tcPr>
          <w:p w14:paraId="72D73169" w14:textId="77777777" w:rsidR="00095554" w:rsidRPr="000A1716" w:rsidRDefault="00095554" w:rsidP="00810452">
            <w:pPr>
              <w:jc w:val="center"/>
              <w:rPr>
                <w:sz w:val="22"/>
                <w:szCs w:val="22"/>
              </w:rPr>
            </w:pPr>
            <w:r w:rsidRPr="000A1716">
              <w:rPr>
                <w:sz w:val="22"/>
                <w:szCs w:val="22"/>
              </w:rPr>
              <w:t>CATIC</w:t>
            </w:r>
          </w:p>
          <w:p w14:paraId="448F8168" w14:textId="77777777" w:rsidR="00095554" w:rsidRPr="000A1716" w:rsidRDefault="00095554" w:rsidP="00810452">
            <w:pPr>
              <w:ind w:left="252"/>
              <w:rPr>
                <w:sz w:val="22"/>
                <w:szCs w:val="22"/>
              </w:rPr>
            </w:pPr>
            <w:r w:rsidRPr="000A1716">
              <w:rPr>
                <w:sz w:val="22"/>
                <w:szCs w:val="22"/>
              </w:rPr>
              <w:t>By</w:t>
            </w:r>
          </w:p>
          <w:p w14:paraId="50643AC9" w14:textId="63BCC3C0" w:rsidR="00095554" w:rsidRPr="000A1716" w:rsidRDefault="00095554" w:rsidP="00810452">
            <w:pPr>
              <w:jc w:val="center"/>
              <w:rPr>
                <w:sz w:val="22"/>
                <w:szCs w:val="22"/>
              </w:rPr>
            </w:pPr>
            <w:r w:rsidRPr="000A1716">
              <w:rPr>
                <w:noProof/>
                <w:sz w:val="22"/>
                <w:szCs w:val="22"/>
              </w:rPr>
              <w:drawing>
                <wp:inline distT="0" distB="0" distL="0" distR="0" wp14:anchorId="1463A015" wp14:editId="19300F04">
                  <wp:extent cx="1615440" cy="6172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5440" cy="617220"/>
                          </a:xfrm>
                          <a:prstGeom prst="rect">
                            <a:avLst/>
                          </a:prstGeom>
                          <a:noFill/>
                          <a:ln>
                            <a:noFill/>
                          </a:ln>
                        </pic:spPr>
                      </pic:pic>
                    </a:graphicData>
                  </a:graphic>
                </wp:inline>
              </w:drawing>
            </w:r>
          </w:p>
          <w:p w14:paraId="30302037" w14:textId="77777777" w:rsidR="00095554" w:rsidRPr="000A1716" w:rsidRDefault="00095554" w:rsidP="00810452">
            <w:pPr>
              <w:jc w:val="center"/>
              <w:rPr>
                <w:sz w:val="22"/>
                <w:szCs w:val="22"/>
              </w:rPr>
            </w:pPr>
            <w:r w:rsidRPr="000A1716">
              <w:rPr>
                <w:sz w:val="22"/>
                <w:szCs w:val="22"/>
              </w:rPr>
              <w:t>JAMES M. CZAPIGA, PRESIDENT</w:t>
            </w:r>
          </w:p>
        </w:tc>
      </w:tr>
    </w:tbl>
    <w:p w14:paraId="6F290B5F" w14:textId="14A632F3" w:rsidR="00095554" w:rsidRPr="000A1716" w:rsidRDefault="00095554" w:rsidP="00095554">
      <w:pPr>
        <w:pStyle w:val="NormalWeb"/>
        <w:spacing w:before="0" w:beforeAutospacing="0" w:after="0" w:afterAutospacing="0"/>
        <w:jc w:val="both"/>
        <w:rPr>
          <w:rFonts w:ascii="Times New Roman" w:hAnsi="Times New Roman" w:cs="Times New Roman"/>
          <w:b/>
          <w:kern w:val="16"/>
          <w:sz w:val="22"/>
          <w:szCs w:val="22"/>
        </w:rPr>
      </w:pPr>
    </w:p>
    <w:p w14:paraId="46FD5C6F" w14:textId="00CFE518" w:rsidR="00095554" w:rsidRPr="000A1716" w:rsidRDefault="00095554" w:rsidP="00095554">
      <w:pPr>
        <w:pStyle w:val="NormalWeb"/>
        <w:spacing w:before="0" w:beforeAutospacing="0" w:after="0" w:afterAutospacing="0"/>
        <w:jc w:val="both"/>
        <w:rPr>
          <w:rFonts w:ascii="Times New Roman" w:hAnsi="Times New Roman" w:cs="Times New Roman"/>
          <w:b/>
          <w:kern w:val="16"/>
          <w:sz w:val="22"/>
          <w:szCs w:val="22"/>
        </w:rPr>
      </w:pPr>
    </w:p>
    <w:p w14:paraId="42948A3B" w14:textId="5787E255" w:rsidR="00095554" w:rsidRPr="000A1716" w:rsidRDefault="00095554" w:rsidP="00095554">
      <w:pPr>
        <w:pStyle w:val="NormalWeb"/>
        <w:spacing w:before="0" w:beforeAutospacing="0" w:after="0" w:afterAutospacing="0"/>
        <w:jc w:val="both"/>
        <w:rPr>
          <w:rFonts w:ascii="Times New Roman" w:hAnsi="Times New Roman" w:cs="Times New Roman"/>
          <w:b/>
          <w:kern w:val="16"/>
          <w:sz w:val="22"/>
          <w:szCs w:val="22"/>
        </w:rPr>
      </w:pPr>
    </w:p>
    <w:p w14:paraId="1302C793" w14:textId="6CAF0D12" w:rsidR="00095554" w:rsidRPr="000A1716" w:rsidRDefault="00095554" w:rsidP="00095554">
      <w:pPr>
        <w:pStyle w:val="NormalWeb"/>
        <w:spacing w:before="0" w:beforeAutospacing="0" w:after="0" w:afterAutospacing="0"/>
        <w:jc w:val="both"/>
        <w:rPr>
          <w:rFonts w:ascii="Times New Roman" w:hAnsi="Times New Roman" w:cs="Times New Roman"/>
          <w:b/>
          <w:kern w:val="16"/>
          <w:sz w:val="22"/>
          <w:szCs w:val="22"/>
        </w:rPr>
      </w:pPr>
    </w:p>
    <w:p w14:paraId="12954DFF" w14:textId="04DDFD31" w:rsidR="00095554" w:rsidRPr="000A1716" w:rsidRDefault="00095554" w:rsidP="00095554">
      <w:pPr>
        <w:pStyle w:val="NormalWeb"/>
        <w:spacing w:before="0" w:beforeAutospacing="0" w:after="0" w:afterAutospacing="0"/>
        <w:jc w:val="both"/>
        <w:rPr>
          <w:rFonts w:ascii="Times New Roman" w:hAnsi="Times New Roman" w:cs="Times New Roman"/>
          <w:b/>
          <w:kern w:val="16"/>
          <w:sz w:val="22"/>
          <w:szCs w:val="22"/>
        </w:rPr>
      </w:pPr>
    </w:p>
    <w:p w14:paraId="5346F433" w14:textId="64133998" w:rsidR="00095554" w:rsidRPr="000A1716" w:rsidRDefault="00095554" w:rsidP="00095554">
      <w:pPr>
        <w:pStyle w:val="NormalWeb"/>
        <w:spacing w:before="0" w:beforeAutospacing="0" w:after="0" w:afterAutospacing="0"/>
        <w:jc w:val="both"/>
        <w:rPr>
          <w:rFonts w:ascii="Times New Roman" w:hAnsi="Times New Roman" w:cs="Times New Roman"/>
          <w:b/>
          <w:kern w:val="16"/>
          <w:sz w:val="22"/>
          <w:szCs w:val="22"/>
        </w:rPr>
      </w:pPr>
    </w:p>
    <w:p w14:paraId="509559BB" w14:textId="0CA028CA" w:rsidR="00095554" w:rsidRPr="000A1716" w:rsidRDefault="00095554" w:rsidP="00095554">
      <w:pPr>
        <w:pStyle w:val="NormalWeb"/>
        <w:spacing w:before="0" w:beforeAutospacing="0" w:after="0" w:afterAutospacing="0"/>
        <w:jc w:val="both"/>
        <w:rPr>
          <w:rFonts w:ascii="Times New Roman" w:hAnsi="Times New Roman" w:cs="Times New Roman"/>
          <w:b/>
          <w:kern w:val="16"/>
          <w:sz w:val="22"/>
          <w:szCs w:val="22"/>
        </w:rPr>
      </w:pPr>
    </w:p>
    <w:p w14:paraId="7749764A" w14:textId="584BFBD4" w:rsidR="00095554" w:rsidRPr="000A1716" w:rsidRDefault="00095554" w:rsidP="00095554">
      <w:pPr>
        <w:pStyle w:val="NormalWeb"/>
        <w:spacing w:before="0" w:beforeAutospacing="0" w:after="0" w:afterAutospacing="0"/>
        <w:jc w:val="both"/>
        <w:rPr>
          <w:rFonts w:ascii="Times New Roman" w:hAnsi="Times New Roman" w:cs="Times New Roman"/>
          <w:b/>
          <w:kern w:val="16"/>
          <w:sz w:val="22"/>
          <w:szCs w:val="22"/>
        </w:rPr>
      </w:pPr>
    </w:p>
    <w:p w14:paraId="7608D319" w14:textId="4B97532D" w:rsidR="00095554" w:rsidRPr="000A1716" w:rsidRDefault="00095554" w:rsidP="00095554">
      <w:pPr>
        <w:pStyle w:val="NormalWeb"/>
        <w:spacing w:before="0" w:beforeAutospacing="0" w:after="0" w:afterAutospacing="0"/>
        <w:jc w:val="both"/>
        <w:rPr>
          <w:rFonts w:ascii="Times New Roman" w:hAnsi="Times New Roman" w:cs="Times New Roman"/>
          <w:b/>
          <w:kern w:val="16"/>
          <w:sz w:val="22"/>
          <w:szCs w:val="22"/>
        </w:rPr>
      </w:pPr>
    </w:p>
    <w:p w14:paraId="075ED12C" w14:textId="5B8B4712" w:rsidR="00095554" w:rsidRPr="000A1716" w:rsidRDefault="00095554" w:rsidP="00095554">
      <w:pPr>
        <w:pStyle w:val="NormalWeb"/>
        <w:spacing w:before="0" w:beforeAutospacing="0" w:after="0" w:afterAutospacing="0"/>
        <w:jc w:val="both"/>
        <w:rPr>
          <w:rFonts w:ascii="Times New Roman" w:hAnsi="Times New Roman" w:cs="Times New Roman"/>
          <w:b/>
          <w:kern w:val="16"/>
          <w:sz w:val="22"/>
          <w:szCs w:val="22"/>
        </w:rPr>
      </w:pPr>
    </w:p>
    <w:p w14:paraId="09325F53" w14:textId="6C7FA833" w:rsidR="00095554" w:rsidRPr="000A1716" w:rsidRDefault="00095554" w:rsidP="00095554">
      <w:pPr>
        <w:pStyle w:val="NormalWeb"/>
        <w:spacing w:before="0" w:beforeAutospacing="0" w:after="0" w:afterAutospacing="0"/>
        <w:jc w:val="both"/>
        <w:rPr>
          <w:rFonts w:ascii="Times New Roman" w:hAnsi="Times New Roman" w:cs="Times New Roman"/>
          <w:b/>
          <w:kern w:val="16"/>
          <w:sz w:val="22"/>
          <w:szCs w:val="22"/>
        </w:rPr>
      </w:pPr>
    </w:p>
    <w:p w14:paraId="78649D71" w14:textId="46F8EE10" w:rsidR="00095554" w:rsidRPr="000A1716" w:rsidRDefault="00095554" w:rsidP="00095554">
      <w:pPr>
        <w:pStyle w:val="NormalWeb"/>
        <w:spacing w:before="0" w:beforeAutospacing="0" w:after="0" w:afterAutospacing="0"/>
        <w:jc w:val="both"/>
        <w:rPr>
          <w:rFonts w:ascii="Times New Roman" w:hAnsi="Times New Roman" w:cs="Times New Roman"/>
          <w:b/>
          <w:kern w:val="16"/>
          <w:sz w:val="22"/>
          <w:szCs w:val="22"/>
        </w:rPr>
      </w:pPr>
    </w:p>
    <w:p w14:paraId="56D1B8F3" w14:textId="46B113A6" w:rsidR="00095554" w:rsidRPr="000A1716" w:rsidRDefault="00095554" w:rsidP="00095554">
      <w:pPr>
        <w:pStyle w:val="NormalWeb"/>
        <w:spacing w:before="0" w:beforeAutospacing="0" w:after="0" w:afterAutospacing="0"/>
        <w:jc w:val="both"/>
        <w:rPr>
          <w:rFonts w:ascii="Times New Roman" w:hAnsi="Times New Roman" w:cs="Times New Roman"/>
          <w:b/>
          <w:kern w:val="16"/>
          <w:sz w:val="22"/>
          <w:szCs w:val="22"/>
        </w:rPr>
      </w:pPr>
    </w:p>
    <w:p w14:paraId="124BAB30" w14:textId="7BF308C8" w:rsidR="00095554" w:rsidRPr="000A1716" w:rsidRDefault="00095554" w:rsidP="00095554">
      <w:pPr>
        <w:pStyle w:val="NormalWeb"/>
        <w:spacing w:before="0" w:beforeAutospacing="0" w:after="0" w:afterAutospacing="0"/>
        <w:jc w:val="both"/>
        <w:rPr>
          <w:rFonts w:ascii="Times New Roman" w:hAnsi="Times New Roman" w:cs="Times New Roman"/>
          <w:b/>
          <w:kern w:val="16"/>
          <w:sz w:val="22"/>
          <w:szCs w:val="22"/>
        </w:rPr>
      </w:pPr>
    </w:p>
    <w:p w14:paraId="35A4D146" w14:textId="0EFD4492" w:rsidR="00095554" w:rsidRPr="000A1716" w:rsidRDefault="00095554" w:rsidP="00095554">
      <w:pPr>
        <w:pStyle w:val="NormalWeb"/>
        <w:spacing w:before="0" w:beforeAutospacing="0" w:after="0" w:afterAutospacing="0"/>
        <w:jc w:val="both"/>
        <w:rPr>
          <w:rFonts w:ascii="Times New Roman" w:hAnsi="Times New Roman" w:cs="Times New Roman"/>
          <w:b/>
          <w:kern w:val="16"/>
          <w:sz w:val="22"/>
          <w:szCs w:val="22"/>
        </w:rPr>
      </w:pPr>
    </w:p>
    <w:p w14:paraId="253C5C39" w14:textId="17AABF9D" w:rsidR="00095554" w:rsidRPr="000A1716" w:rsidRDefault="00095554" w:rsidP="00095554">
      <w:pPr>
        <w:pStyle w:val="NormalWeb"/>
        <w:spacing w:before="0" w:beforeAutospacing="0" w:after="0" w:afterAutospacing="0"/>
        <w:jc w:val="both"/>
        <w:rPr>
          <w:rFonts w:ascii="Times New Roman" w:hAnsi="Times New Roman" w:cs="Times New Roman"/>
          <w:b/>
          <w:kern w:val="16"/>
          <w:sz w:val="22"/>
          <w:szCs w:val="22"/>
        </w:rPr>
      </w:pPr>
    </w:p>
    <w:p w14:paraId="0C85B9C3" w14:textId="01342B83" w:rsidR="00095554" w:rsidRPr="000A1716" w:rsidRDefault="00095554" w:rsidP="00095554">
      <w:pPr>
        <w:pStyle w:val="NormalWeb"/>
        <w:spacing w:before="0" w:beforeAutospacing="0" w:after="0" w:afterAutospacing="0"/>
        <w:jc w:val="both"/>
        <w:rPr>
          <w:rFonts w:ascii="Times New Roman" w:hAnsi="Times New Roman" w:cs="Times New Roman"/>
          <w:b/>
          <w:kern w:val="16"/>
          <w:sz w:val="22"/>
          <w:szCs w:val="22"/>
        </w:rPr>
      </w:pPr>
    </w:p>
    <w:p w14:paraId="4975E082" w14:textId="4A32C39A" w:rsidR="00095554" w:rsidRPr="000A1716" w:rsidRDefault="00095554" w:rsidP="00095554">
      <w:pPr>
        <w:pStyle w:val="NormalWeb"/>
        <w:spacing w:before="0" w:beforeAutospacing="0" w:after="0" w:afterAutospacing="0"/>
        <w:jc w:val="both"/>
        <w:rPr>
          <w:rFonts w:ascii="Times New Roman" w:hAnsi="Times New Roman" w:cs="Times New Roman"/>
          <w:b/>
          <w:kern w:val="16"/>
          <w:sz w:val="22"/>
          <w:szCs w:val="22"/>
        </w:rPr>
      </w:pPr>
    </w:p>
    <w:p w14:paraId="1886D13A" w14:textId="07154F3A" w:rsidR="00095554" w:rsidRPr="000A1716" w:rsidRDefault="00095554" w:rsidP="00095554">
      <w:pPr>
        <w:pStyle w:val="NormalWeb"/>
        <w:spacing w:before="0" w:beforeAutospacing="0" w:after="0" w:afterAutospacing="0"/>
        <w:jc w:val="both"/>
        <w:rPr>
          <w:rFonts w:ascii="Times New Roman" w:hAnsi="Times New Roman" w:cs="Times New Roman"/>
          <w:b/>
          <w:kern w:val="16"/>
          <w:sz w:val="22"/>
          <w:szCs w:val="22"/>
        </w:rPr>
      </w:pPr>
    </w:p>
    <w:p w14:paraId="578D1D8A" w14:textId="77777777" w:rsidR="00095554" w:rsidRPr="000A1716" w:rsidRDefault="00095554" w:rsidP="00095554">
      <w:pPr>
        <w:pStyle w:val="NormalWeb"/>
        <w:spacing w:before="0" w:beforeAutospacing="0" w:after="0" w:afterAutospacing="0"/>
        <w:jc w:val="both"/>
        <w:rPr>
          <w:rFonts w:ascii="Times New Roman" w:hAnsi="Times New Roman" w:cs="Times New Roman"/>
          <w:b/>
          <w:kern w:val="16"/>
          <w:sz w:val="22"/>
          <w:szCs w:val="22"/>
        </w:rPr>
      </w:pPr>
    </w:p>
    <w:p w14:paraId="2ED3AD51" w14:textId="09ACC051" w:rsidR="00485B58" w:rsidRPr="000A1716" w:rsidRDefault="00485B58" w:rsidP="00EF79A1">
      <w:pPr>
        <w:pStyle w:val="NormalWeb"/>
        <w:spacing w:before="0" w:beforeAutospacing="0" w:after="0" w:afterAutospacing="0"/>
        <w:ind w:firstLine="720"/>
        <w:jc w:val="both"/>
        <w:rPr>
          <w:rFonts w:ascii="Times New Roman" w:hAnsi="Times New Roman" w:cs="Times New Roman"/>
          <w:b/>
          <w:kern w:val="16"/>
          <w:sz w:val="22"/>
          <w:szCs w:val="22"/>
        </w:rPr>
      </w:pPr>
    </w:p>
    <w:p w14:paraId="435A8644" w14:textId="02DDCA4E" w:rsidR="00485B58" w:rsidRPr="000A1716" w:rsidRDefault="00485B58" w:rsidP="00EF79A1">
      <w:pPr>
        <w:pStyle w:val="NormalWeb"/>
        <w:spacing w:before="0" w:beforeAutospacing="0" w:after="0" w:afterAutospacing="0"/>
        <w:ind w:firstLine="720"/>
        <w:jc w:val="both"/>
        <w:rPr>
          <w:rFonts w:ascii="Times New Roman" w:hAnsi="Times New Roman" w:cs="Times New Roman"/>
          <w:b/>
          <w:kern w:val="16"/>
          <w:sz w:val="22"/>
          <w:szCs w:val="22"/>
        </w:rPr>
      </w:pPr>
    </w:p>
    <w:sectPr w:rsidR="00485B58" w:rsidRPr="000A1716" w:rsidSect="000A1716">
      <w:footerReference w:type="default" r:id="rId13"/>
      <w:pgSz w:w="12240" w:h="15840"/>
      <w:pgMar w:top="1440" w:right="1440" w:bottom="1440" w:left="1440" w:header="576" w:footer="576"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20DD3" w14:textId="77777777" w:rsidR="005919F8" w:rsidRDefault="005919F8">
      <w:r>
        <w:separator/>
      </w:r>
    </w:p>
  </w:endnote>
  <w:endnote w:type="continuationSeparator" w:id="0">
    <w:p w14:paraId="013A128E" w14:textId="77777777" w:rsidR="005919F8" w:rsidRDefault="0059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Franklin Gothic Condensed">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BED7D" w14:textId="3E674345" w:rsidR="00095554" w:rsidRDefault="00095554" w:rsidP="00EF47C0">
    <w:pPr>
      <w:pStyle w:val="Footer"/>
      <w:ind w:left="-540"/>
    </w:pPr>
    <w:r>
      <w:t>ALTA Endorsement 3.3</w:t>
    </w:r>
    <w:r w:rsidR="000A1716">
      <w:t>-</w:t>
    </w:r>
    <w:r>
      <w:t>06 – Zoning</w:t>
    </w:r>
    <w:r w:rsidR="00831A69">
      <w:t xml:space="preserve"> </w:t>
    </w:r>
    <w:r w:rsidR="00831A69" w:rsidRPr="00831A69">
      <w:t>–</w:t>
    </w:r>
    <w:r>
      <w:t xml:space="preserve"> Completed Improvement – Non</w:t>
    </w:r>
    <w:r w:rsidR="00EF47C0">
      <w:t>-</w:t>
    </w:r>
    <w:r>
      <w:t xml:space="preserve">Conforming Use </w:t>
    </w:r>
    <w:r w:rsidR="000A1716">
      <w:t>(</w:t>
    </w:r>
    <w:r>
      <w:t>Adopted 12-01-2018</w:t>
    </w:r>
    <w:r w:rsidR="000A1716">
      <w:t>)</w:t>
    </w:r>
  </w:p>
  <w:p w14:paraId="0EA0E763" w14:textId="77777777" w:rsidR="00EF47C0" w:rsidRDefault="00EF47C0" w:rsidP="00EF47C0">
    <w:pPr>
      <w:pStyle w:val="Footer"/>
      <w:ind w:left="-5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6D739" w14:textId="77777777" w:rsidR="00B746A2" w:rsidRDefault="00B746A2" w:rsidP="00EF47C0">
    <w:pPr>
      <w:pStyle w:val="Footer"/>
      <w:ind w:left="-540"/>
    </w:pPr>
    <w:r>
      <w:t xml:space="preserve">ALTA Endorsement 3.3-06 – Zoning </w:t>
    </w:r>
    <w:r w:rsidRPr="00831A69">
      <w:t>–</w:t>
    </w:r>
    <w:r>
      <w:t xml:space="preserve"> Completed Improvement – Non-Conforming Use (Adopted 12-01-2018)</w:t>
    </w:r>
  </w:p>
  <w:p w14:paraId="06FB749C" w14:textId="77777777" w:rsidR="00B746A2" w:rsidRDefault="00B746A2" w:rsidP="00EF47C0">
    <w:pPr>
      <w:pStyle w:val="Footer"/>
      <w:ind w:left="-540"/>
    </w:pPr>
  </w:p>
  <w:p w14:paraId="77B54269" w14:textId="68F442FE" w:rsidR="00B746A2" w:rsidRDefault="00B746A2" w:rsidP="00EF47C0">
    <w:pPr>
      <w:pStyle w:val="Footer"/>
      <w:ind w:left="-540"/>
      <w:jc w:val="center"/>
    </w:pPr>
    <w:r>
      <w:t xml:space="preserve">Page </w:t>
    </w:r>
    <w:r w:rsidR="001930AF">
      <w:t>1</w:t>
    </w:r>
    <w:r>
      <w:t xml:space="preserve">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6030B" w14:textId="77777777" w:rsidR="001930AF" w:rsidRDefault="001930AF" w:rsidP="00EF47C0">
    <w:pPr>
      <w:pStyle w:val="Footer"/>
      <w:ind w:left="-540"/>
    </w:pPr>
    <w:r>
      <w:t xml:space="preserve">ALTA Endorsement 3.3-06 – Zoning </w:t>
    </w:r>
    <w:r w:rsidRPr="00831A69">
      <w:t>–</w:t>
    </w:r>
    <w:r>
      <w:t xml:space="preserve"> Completed Improvement – Non-Conforming Use (Adopted 12-01-2018)</w:t>
    </w:r>
  </w:p>
  <w:p w14:paraId="779F7F14" w14:textId="77777777" w:rsidR="001930AF" w:rsidRDefault="001930AF" w:rsidP="00EF47C0">
    <w:pPr>
      <w:pStyle w:val="Footer"/>
      <w:ind w:left="-540"/>
    </w:pPr>
  </w:p>
  <w:p w14:paraId="3CDB2A69" w14:textId="1F07ED60" w:rsidR="001930AF" w:rsidRDefault="001930AF" w:rsidP="00EF47C0">
    <w:pPr>
      <w:pStyle w:val="Footer"/>
      <w:ind w:left="-540"/>
      <w:jc w:val="center"/>
    </w:pPr>
    <w:r>
      <w:t>Page 2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0FE1B" w14:textId="77777777" w:rsidR="005919F8" w:rsidRDefault="005919F8">
      <w:r>
        <w:separator/>
      </w:r>
    </w:p>
  </w:footnote>
  <w:footnote w:type="continuationSeparator" w:id="0">
    <w:p w14:paraId="2401B353" w14:textId="77777777" w:rsidR="005919F8" w:rsidRDefault="00591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5D45D" w14:textId="1BF39A7A" w:rsidR="005E26E9" w:rsidRPr="005A1511" w:rsidRDefault="00485B58" w:rsidP="00485B58">
    <w:pPr>
      <w:pStyle w:val="Header1"/>
      <w:pBdr>
        <w:bottom w:val="none" w:sz="0" w:space="0" w:color="auto"/>
      </w:pBdr>
      <w:tabs>
        <w:tab w:val="clear" w:pos="4320"/>
        <w:tab w:val="clear" w:pos="9360"/>
        <w:tab w:val="right" w:pos="10080"/>
      </w:tabs>
      <w:jc w:val="right"/>
      <w:rPr>
        <w:rFonts w:cs="Arial"/>
        <w:b w:val="0"/>
        <w:sz w:val="18"/>
      </w:rPr>
    </w:pPr>
    <w:r>
      <w:rPr>
        <w:noProof/>
      </w:rPr>
      <w:drawing>
        <wp:inline distT="0" distB="0" distL="0" distR="0" wp14:anchorId="65510976" wp14:editId="2DD96D4C">
          <wp:extent cx="5943600" cy="598170"/>
          <wp:effectExtent l="0" t="0" r="0" b="0"/>
          <wp:docPr id="1" name="Picture 1" descr="CATIC_trademark"/>
          <wp:cNvGraphicFramePr/>
          <a:graphic xmlns:a="http://schemas.openxmlformats.org/drawingml/2006/main">
            <a:graphicData uri="http://schemas.openxmlformats.org/drawingml/2006/picture">
              <pic:pic xmlns:pic="http://schemas.openxmlformats.org/drawingml/2006/picture">
                <pic:nvPicPr>
                  <pic:cNvPr id="1" name="Picture 1" descr="CATIC_trademark"/>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98170"/>
                  </a:xfrm>
                  <a:prstGeom prst="rect">
                    <a:avLst/>
                  </a:prstGeom>
                  <a:noFill/>
                  <a:ln>
                    <a:noFill/>
                  </a:ln>
                </pic:spPr>
              </pic:pic>
            </a:graphicData>
          </a:graphic>
        </wp:inline>
      </w:drawing>
    </w:r>
  </w:p>
  <w:p w14:paraId="5D30F2C7" w14:textId="77777777" w:rsidR="00E1613C" w:rsidRPr="00B869AD" w:rsidRDefault="00E1613C" w:rsidP="00E1613C">
    <w:pPr>
      <w:rPr>
        <w:sz w:val="1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C2672"/>
    <w:multiLevelType w:val="hybridMultilevel"/>
    <w:tmpl w:val="406E12B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0360A90"/>
    <w:multiLevelType w:val="hybridMultilevel"/>
    <w:tmpl w:val="770207A6"/>
    <w:lvl w:ilvl="0" w:tplc="BC60692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480"/>
    <w:rsid w:val="00001B70"/>
    <w:rsid w:val="000053DB"/>
    <w:rsid w:val="00022179"/>
    <w:rsid w:val="00072EB8"/>
    <w:rsid w:val="00083377"/>
    <w:rsid w:val="000872D0"/>
    <w:rsid w:val="00092A35"/>
    <w:rsid w:val="00095554"/>
    <w:rsid w:val="000A1716"/>
    <w:rsid w:val="000A3306"/>
    <w:rsid w:val="000A5494"/>
    <w:rsid w:val="000B3D7B"/>
    <w:rsid w:val="000D1AA1"/>
    <w:rsid w:val="000F6D60"/>
    <w:rsid w:val="001143AE"/>
    <w:rsid w:val="00157457"/>
    <w:rsid w:val="001930AF"/>
    <w:rsid w:val="001B3D80"/>
    <w:rsid w:val="001B6D87"/>
    <w:rsid w:val="00251B01"/>
    <w:rsid w:val="0025222F"/>
    <w:rsid w:val="00260C73"/>
    <w:rsid w:val="002745D7"/>
    <w:rsid w:val="00287DA1"/>
    <w:rsid w:val="00291986"/>
    <w:rsid w:val="00292501"/>
    <w:rsid w:val="002941F7"/>
    <w:rsid w:val="002A3C7F"/>
    <w:rsid w:val="002C3929"/>
    <w:rsid w:val="0030150A"/>
    <w:rsid w:val="003154FB"/>
    <w:rsid w:val="00335BE2"/>
    <w:rsid w:val="003546AD"/>
    <w:rsid w:val="0037293B"/>
    <w:rsid w:val="0040750A"/>
    <w:rsid w:val="004660F7"/>
    <w:rsid w:val="00485B58"/>
    <w:rsid w:val="004A11BD"/>
    <w:rsid w:val="004C0917"/>
    <w:rsid w:val="004D1E1C"/>
    <w:rsid w:val="004F7B06"/>
    <w:rsid w:val="004F7F2D"/>
    <w:rsid w:val="00507E20"/>
    <w:rsid w:val="00514262"/>
    <w:rsid w:val="00514C5C"/>
    <w:rsid w:val="00522378"/>
    <w:rsid w:val="0053066B"/>
    <w:rsid w:val="00547BE7"/>
    <w:rsid w:val="00563369"/>
    <w:rsid w:val="00565619"/>
    <w:rsid w:val="00571E57"/>
    <w:rsid w:val="005738B2"/>
    <w:rsid w:val="005813BA"/>
    <w:rsid w:val="005919F8"/>
    <w:rsid w:val="005B73E4"/>
    <w:rsid w:val="005E26E9"/>
    <w:rsid w:val="005F183E"/>
    <w:rsid w:val="006049D6"/>
    <w:rsid w:val="00612A24"/>
    <w:rsid w:val="00613949"/>
    <w:rsid w:val="0062311E"/>
    <w:rsid w:val="00633DEC"/>
    <w:rsid w:val="00634C85"/>
    <w:rsid w:val="006432C6"/>
    <w:rsid w:val="00682BE9"/>
    <w:rsid w:val="006A6FFF"/>
    <w:rsid w:val="006B10D3"/>
    <w:rsid w:val="006D3113"/>
    <w:rsid w:val="006D3238"/>
    <w:rsid w:val="006D499A"/>
    <w:rsid w:val="00730CAE"/>
    <w:rsid w:val="00731993"/>
    <w:rsid w:val="00736FAF"/>
    <w:rsid w:val="007842DB"/>
    <w:rsid w:val="007E7480"/>
    <w:rsid w:val="00805BE3"/>
    <w:rsid w:val="00831A69"/>
    <w:rsid w:val="008331C9"/>
    <w:rsid w:val="008708D9"/>
    <w:rsid w:val="0087563E"/>
    <w:rsid w:val="00886865"/>
    <w:rsid w:val="00896CA7"/>
    <w:rsid w:val="008B3E5D"/>
    <w:rsid w:val="008C08D0"/>
    <w:rsid w:val="008E0E07"/>
    <w:rsid w:val="008E4027"/>
    <w:rsid w:val="008E4BA0"/>
    <w:rsid w:val="008E5EA6"/>
    <w:rsid w:val="008E7423"/>
    <w:rsid w:val="0090192F"/>
    <w:rsid w:val="00906B24"/>
    <w:rsid w:val="00913B0E"/>
    <w:rsid w:val="00914BB3"/>
    <w:rsid w:val="009331C4"/>
    <w:rsid w:val="009341AB"/>
    <w:rsid w:val="009839E9"/>
    <w:rsid w:val="0098541E"/>
    <w:rsid w:val="009977B3"/>
    <w:rsid w:val="009A0FF3"/>
    <w:rsid w:val="009B5A6C"/>
    <w:rsid w:val="009D5922"/>
    <w:rsid w:val="009D6413"/>
    <w:rsid w:val="009E2EED"/>
    <w:rsid w:val="00A01199"/>
    <w:rsid w:val="00A03CC6"/>
    <w:rsid w:val="00A13589"/>
    <w:rsid w:val="00A27E69"/>
    <w:rsid w:val="00A82DB2"/>
    <w:rsid w:val="00AC5E76"/>
    <w:rsid w:val="00AE7DD1"/>
    <w:rsid w:val="00AF6B50"/>
    <w:rsid w:val="00B50529"/>
    <w:rsid w:val="00B5438D"/>
    <w:rsid w:val="00B746A2"/>
    <w:rsid w:val="00B75752"/>
    <w:rsid w:val="00B869AD"/>
    <w:rsid w:val="00B94CF1"/>
    <w:rsid w:val="00BD28D6"/>
    <w:rsid w:val="00BF5A13"/>
    <w:rsid w:val="00C348C7"/>
    <w:rsid w:val="00C62943"/>
    <w:rsid w:val="00C66032"/>
    <w:rsid w:val="00C7323C"/>
    <w:rsid w:val="00CA1EB3"/>
    <w:rsid w:val="00CA7C24"/>
    <w:rsid w:val="00CC570C"/>
    <w:rsid w:val="00CF0F39"/>
    <w:rsid w:val="00D47D70"/>
    <w:rsid w:val="00D60BB9"/>
    <w:rsid w:val="00D86BD1"/>
    <w:rsid w:val="00DB381F"/>
    <w:rsid w:val="00DD09F4"/>
    <w:rsid w:val="00DD424B"/>
    <w:rsid w:val="00DD66E3"/>
    <w:rsid w:val="00E1613C"/>
    <w:rsid w:val="00E22F29"/>
    <w:rsid w:val="00E40938"/>
    <w:rsid w:val="00E551BB"/>
    <w:rsid w:val="00E71EAB"/>
    <w:rsid w:val="00E733C2"/>
    <w:rsid w:val="00E77529"/>
    <w:rsid w:val="00E826D3"/>
    <w:rsid w:val="00EA65AA"/>
    <w:rsid w:val="00EB5F1C"/>
    <w:rsid w:val="00EF38F9"/>
    <w:rsid w:val="00EF47C0"/>
    <w:rsid w:val="00EF79A1"/>
    <w:rsid w:val="00F2072C"/>
    <w:rsid w:val="00F318A6"/>
    <w:rsid w:val="00F362E7"/>
    <w:rsid w:val="00F464D4"/>
    <w:rsid w:val="00F56EC4"/>
    <w:rsid w:val="00F57985"/>
    <w:rsid w:val="00F81D11"/>
    <w:rsid w:val="00F960B9"/>
    <w:rsid w:val="00FA320E"/>
    <w:rsid w:val="00FD01EC"/>
    <w:rsid w:val="00FF4898"/>
    <w:rsid w:val="00FF4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200534F"/>
  <w15:docId w15:val="{C4DBEA72-377B-4B18-903B-AD3011B4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framePr w:hSpace="187" w:wrap="around" w:vAnchor="page" w:hAnchor="page" w:x="1009" w:y="1441"/>
      <w:jc w:val="right"/>
      <w:outlineLvl w:val="0"/>
    </w:pPr>
    <w:rPr>
      <w:rFonts w:ascii="Franklin Gothic Condensed" w:hAnsi="Franklin Gothic Condense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240" w:lineRule="atLeast"/>
      <w:ind w:left="720" w:hanging="360"/>
      <w:jc w:val="both"/>
    </w:pPr>
    <w:rPr>
      <w:rFonts w:ascii="Arial" w:hAnsi="Arial"/>
    </w:rPr>
  </w:style>
  <w:style w:type="paragraph" w:styleId="BodyText">
    <w:name w:val="Body Text"/>
    <w:basedOn w:val="Normal"/>
    <w:pPr>
      <w:spacing w:line="240" w:lineRule="atLeast"/>
      <w:jc w:val="both"/>
    </w:pPr>
    <w:rPr>
      <w:rFonts w:ascii="Arial" w:hAnsi="Arial"/>
    </w:rPr>
  </w:style>
  <w:style w:type="paragraph" w:styleId="BodyTextIndent2">
    <w:name w:val="Body Text Indent 2"/>
    <w:basedOn w:val="Normal"/>
    <w:pPr>
      <w:spacing w:line="240" w:lineRule="atLeast"/>
      <w:ind w:firstLine="360"/>
      <w:jc w:val="both"/>
    </w:pPr>
    <w:rPr>
      <w:rFonts w:ascii="Arial" w:hAnsi="Arial"/>
    </w:rPr>
  </w:style>
  <w:style w:type="paragraph" w:styleId="BodyTextIndent3">
    <w:name w:val="Body Text Indent 3"/>
    <w:basedOn w:val="Normal"/>
    <w:pPr>
      <w:spacing w:line="240" w:lineRule="atLeast"/>
      <w:ind w:firstLine="180"/>
      <w:jc w:val="both"/>
    </w:pPr>
    <w:rPr>
      <w:rFonts w:ascii="Arial" w:hAnsi="Arial"/>
    </w:rPr>
  </w:style>
  <w:style w:type="paragraph" w:customStyle="1" w:styleId="Header1">
    <w:name w:val="Header1"/>
    <w:basedOn w:val="Header"/>
    <w:pPr>
      <w:pBdr>
        <w:bottom w:val="single" w:sz="18" w:space="1" w:color="auto"/>
      </w:pBdr>
      <w:tabs>
        <w:tab w:val="clear" w:pos="8640"/>
        <w:tab w:val="right" w:pos="9360"/>
      </w:tabs>
    </w:pPr>
    <w:rPr>
      <w:rFonts w:ascii="Arial" w:hAnsi="Arial"/>
      <w:b/>
    </w:rPr>
  </w:style>
  <w:style w:type="paragraph" w:styleId="Header">
    <w:name w:val="header"/>
    <w:basedOn w:val="Normal"/>
    <w:pPr>
      <w:tabs>
        <w:tab w:val="center" w:pos="4320"/>
        <w:tab w:val="right" w:pos="8640"/>
      </w:tabs>
    </w:pPr>
  </w:style>
  <w:style w:type="paragraph" w:styleId="NormalWeb">
    <w:name w:val="Normal (Web)"/>
    <w:basedOn w:val="Normal"/>
    <w:pPr>
      <w:spacing w:before="100" w:beforeAutospacing="1" w:after="100" w:afterAutospacing="1"/>
    </w:pPr>
    <w:rPr>
      <w:rFonts w:ascii="Verdana" w:eastAsia="Arial Unicode MS" w:hAnsi="Verdana" w:cs="Arial Unicode MS"/>
      <w:color w:val="000000"/>
      <w:sz w:val="18"/>
      <w:szCs w:val="18"/>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6D499A"/>
    <w:rPr>
      <w:rFonts w:ascii="Tahoma" w:hAnsi="Tahoma" w:cs="Tahoma"/>
      <w:sz w:val="16"/>
      <w:szCs w:val="16"/>
    </w:rPr>
  </w:style>
  <w:style w:type="paragraph" w:styleId="ListParagraph">
    <w:name w:val="List Paragraph"/>
    <w:basedOn w:val="Normal"/>
    <w:uiPriority w:val="1"/>
    <w:qFormat/>
    <w:rsid w:val="009977B3"/>
    <w:pPr>
      <w:ind w:left="720"/>
    </w:pPr>
  </w:style>
  <w:style w:type="character" w:customStyle="1" w:styleId="FooterChar">
    <w:name w:val="Footer Char"/>
    <w:basedOn w:val="DefaultParagraphFont"/>
    <w:link w:val="Footer"/>
    <w:uiPriority w:val="99"/>
    <w:rsid w:val="00287DA1"/>
  </w:style>
  <w:style w:type="character" w:styleId="LineNumber">
    <w:name w:val="line number"/>
    <w:basedOn w:val="DefaultParagraphFont"/>
    <w:semiHidden/>
    <w:unhideWhenUsed/>
    <w:rsid w:val="001143AE"/>
  </w:style>
  <w:style w:type="paragraph" w:styleId="Revision">
    <w:name w:val="Revision"/>
    <w:hidden/>
    <w:uiPriority w:val="99"/>
    <w:semiHidden/>
    <w:rsid w:val="00EB5F1C"/>
  </w:style>
  <w:style w:type="character" w:styleId="CommentReference">
    <w:name w:val="annotation reference"/>
    <w:basedOn w:val="DefaultParagraphFont"/>
    <w:semiHidden/>
    <w:unhideWhenUsed/>
    <w:rsid w:val="003154FB"/>
    <w:rPr>
      <w:sz w:val="16"/>
      <w:szCs w:val="16"/>
    </w:rPr>
  </w:style>
  <w:style w:type="paragraph" w:styleId="CommentText">
    <w:name w:val="annotation text"/>
    <w:basedOn w:val="Normal"/>
    <w:link w:val="CommentTextChar"/>
    <w:semiHidden/>
    <w:unhideWhenUsed/>
    <w:rsid w:val="003154FB"/>
  </w:style>
  <w:style w:type="character" w:customStyle="1" w:styleId="CommentTextChar">
    <w:name w:val="Comment Text Char"/>
    <w:basedOn w:val="DefaultParagraphFont"/>
    <w:link w:val="CommentText"/>
    <w:semiHidden/>
    <w:rsid w:val="003154FB"/>
  </w:style>
  <w:style w:type="paragraph" w:styleId="CommentSubject">
    <w:name w:val="annotation subject"/>
    <w:basedOn w:val="CommentText"/>
    <w:next w:val="CommentText"/>
    <w:link w:val="CommentSubjectChar"/>
    <w:semiHidden/>
    <w:unhideWhenUsed/>
    <w:rsid w:val="003154FB"/>
    <w:rPr>
      <w:b/>
      <w:bCs/>
    </w:rPr>
  </w:style>
  <w:style w:type="character" w:customStyle="1" w:styleId="CommentSubjectChar">
    <w:name w:val="Comment Subject Char"/>
    <w:basedOn w:val="CommentTextChar"/>
    <w:link w:val="CommentSubject"/>
    <w:semiHidden/>
    <w:rsid w:val="003154FB"/>
    <w:rPr>
      <w:b/>
      <w:bCs/>
    </w:rPr>
  </w:style>
  <w:style w:type="paragraph" w:styleId="Title">
    <w:name w:val="Title"/>
    <w:basedOn w:val="Normal"/>
    <w:link w:val="TitleChar"/>
    <w:qFormat/>
    <w:rsid w:val="00B746A2"/>
    <w:pPr>
      <w:jc w:val="center"/>
    </w:pPr>
    <w:rPr>
      <w:b/>
      <w:bCs/>
      <w:sz w:val="24"/>
      <w:szCs w:val="24"/>
      <w:u w:val="single"/>
    </w:rPr>
  </w:style>
  <w:style w:type="character" w:customStyle="1" w:styleId="TitleChar">
    <w:name w:val="Title Char"/>
    <w:basedOn w:val="DefaultParagraphFont"/>
    <w:link w:val="Title"/>
    <w:rsid w:val="00B746A2"/>
    <w:rPr>
      <w:b/>
      <w:bCs/>
      <w:sz w:val="24"/>
      <w:szCs w:val="24"/>
      <w:u w:val="single"/>
    </w:rPr>
  </w:style>
  <w:style w:type="paragraph" w:styleId="Subtitle">
    <w:name w:val="Subtitle"/>
    <w:basedOn w:val="Normal"/>
    <w:link w:val="SubtitleChar"/>
    <w:qFormat/>
    <w:rsid w:val="00B746A2"/>
    <w:rPr>
      <w:b/>
      <w:bCs/>
      <w:sz w:val="24"/>
    </w:rPr>
  </w:style>
  <w:style w:type="character" w:customStyle="1" w:styleId="SubtitleChar">
    <w:name w:val="Subtitle Char"/>
    <w:basedOn w:val="DefaultParagraphFont"/>
    <w:link w:val="Subtitle"/>
    <w:rsid w:val="00B746A2"/>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69353">
      <w:bodyDiv w:val="1"/>
      <w:marLeft w:val="0"/>
      <w:marRight w:val="0"/>
      <w:marTop w:val="0"/>
      <w:marBottom w:val="0"/>
      <w:divBdr>
        <w:top w:val="none" w:sz="0" w:space="0" w:color="auto"/>
        <w:left w:val="none" w:sz="0" w:space="0" w:color="auto"/>
        <w:bottom w:val="none" w:sz="0" w:space="0" w:color="auto"/>
        <w:right w:val="none" w:sz="0" w:space="0" w:color="auto"/>
      </w:divBdr>
    </w:div>
    <w:div w:id="136580380">
      <w:bodyDiv w:val="1"/>
      <w:marLeft w:val="0"/>
      <w:marRight w:val="0"/>
      <w:marTop w:val="0"/>
      <w:marBottom w:val="0"/>
      <w:divBdr>
        <w:top w:val="none" w:sz="0" w:space="0" w:color="auto"/>
        <w:left w:val="none" w:sz="0" w:space="0" w:color="auto"/>
        <w:bottom w:val="none" w:sz="0" w:space="0" w:color="auto"/>
        <w:right w:val="none" w:sz="0" w:space="0" w:color="auto"/>
      </w:divBdr>
    </w:div>
    <w:div w:id="137698070">
      <w:bodyDiv w:val="1"/>
      <w:marLeft w:val="0"/>
      <w:marRight w:val="0"/>
      <w:marTop w:val="0"/>
      <w:marBottom w:val="0"/>
      <w:divBdr>
        <w:top w:val="none" w:sz="0" w:space="0" w:color="auto"/>
        <w:left w:val="none" w:sz="0" w:space="0" w:color="auto"/>
        <w:bottom w:val="none" w:sz="0" w:space="0" w:color="auto"/>
        <w:right w:val="none" w:sz="0" w:space="0" w:color="auto"/>
      </w:divBdr>
    </w:div>
    <w:div w:id="608463965">
      <w:bodyDiv w:val="1"/>
      <w:marLeft w:val="0"/>
      <w:marRight w:val="0"/>
      <w:marTop w:val="0"/>
      <w:marBottom w:val="0"/>
      <w:divBdr>
        <w:top w:val="none" w:sz="0" w:space="0" w:color="auto"/>
        <w:left w:val="none" w:sz="0" w:space="0" w:color="auto"/>
        <w:bottom w:val="none" w:sz="0" w:space="0" w:color="auto"/>
        <w:right w:val="none" w:sz="0" w:space="0" w:color="auto"/>
      </w:divBdr>
    </w:div>
    <w:div w:id="634917554">
      <w:bodyDiv w:val="1"/>
      <w:marLeft w:val="0"/>
      <w:marRight w:val="0"/>
      <w:marTop w:val="0"/>
      <w:marBottom w:val="0"/>
      <w:divBdr>
        <w:top w:val="none" w:sz="0" w:space="0" w:color="auto"/>
        <w:left w:val="none" w:sz="0" w:space="0" w:color="auto"/>
        <w:bottom w:val="none" w:sz="0" w:space="0" w:color="auto"/>
        <w:right w:val="none" w:sz="0" w:space="0" w:color="auto"/>
      </w:divBdr>
    </w:div>
    <w:div w:id="170263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CLTEND.DOT" TargetMode="External"/></Relationships>
</file>

<file path=word/theme/theme1.xml><?xml version="1.0" encoding="utf-8"?>
<a:theme xmlns:a="http://schemas.openxmlformats.org/drawingml/2006/main" name="Theme4">
  <a:themeElements>
    <a:clrScheme name="ALLIE #2">
      <a:dk1>
        <a:sysClr val="windowText" lastClr="000000"/>
      </a:dk1>
      <a:lt1>
        <a:sysClr val="window" lastClr="FFFFFF"/>
      </a:lt1>
      <a:dk2>
        <a:srgbClr val="CC0066"/>
      </a:dk2>
      <a:lt2>
        <a:srgbClr val="F50E46"/>
      </a:lt2>
      <a:accent1>
        <a:srgbClr val="F54DAE"/>
      </a:accent1>
      <a:accent2>
        <a:srgbClr val="FEA55B"/>
      </a:accent2>
      <a:accent3>
        <a:srgbClr val="FFDE24"/>
      </a:accent3>
      <a:accent4>
        <a:srgbClr val="C5FC00"/>
      </a:accent4>
      <a:accent5>
        <a:srgbClr val="B5FE5B"/>
      </a:accent5>
      <a:accent6>
        <a:srgbClr val="00FFAB"/>
      </a:accent6>
      <a:hlink>
        <a:srgbClr val="6610F2"/>
      </a:hlink>
      <a:folHlink>
        <a:srgbClr val="0000FF"/>
      </a:folHlink>
    </a:clrScheme>
    <a:fontScheme name="ALLIE-NEW FONTS">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189CD-047E-4D08-8EE5-8149F2EE1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CLTEND.DOT</Template>
  <TotalTime>341</TotalTime>
  <Pages>4</Pages>
  <Words>1012</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 Forms Committee</dc:creator>
  <cp:lastModifiedBy>Beverly Ambulos</cp:lastModifiedBy>
  <cp:revision>11</cp:revision>
  <cp:lastPrinted>2019-09-20T19:28:00Z</cp:lastPrinted>
  <dcterms:created xsi:type="dcterms:W3CDTF">2019-06-18T14:10:00Z</dcterms:created>
  <dcterms:modified xsi:type="dcterms:W3CDTF">2019-09-20T19:35:00Z</dcterms:modified>
</cp:coreProperties>
</file>